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09BB" w14:textId="77777777" w:rsidR="00746422" w:rsidRDefault="00746422">
      <w:pPr>
        <w:spacing w:line="56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bookmarkStart w:id="0" w:name="_Hlk66263700"/>
    </w:p>
    <w:p w14:paraId="09CC546E" w14:textId="1B25341E" w:rsidR="00746422" w:rsidRPr="00C04AAA" w:rsidRDefault="00746422">
      <w:pPr>
        <w:spacing w:line="560" w:lineRule="exact"/>
        <w:jc w:val="center"/>
        <w:rPr>
          <w:rFonts w:ascii="宋体" w:eastAsia="宋体" w:hAnsi="宋体" w:cs="创艺简标宋"/>
          <w:sz w:val="44"/>
          <w:szCs w:val="44"/>
        </w:rPr>
      </w:pPr>
      <w:r w:rsidRPr="00C04AAA">
        <w:rPr>
          <w:rFonts w:ascii="宋体" w:eastAsia="宋体" w:hAnsi="宋体" w:cs="创艺简标宋" w:hint="eastAsia"/>
          <w:sz w:val="44"/>
          <w:szCs w:val="44"/>
        </w:rPr>
        <w:t>中山市划定禁止“黑烟车”上路行驶区域的通告</w:t>
      </w:r>
      <w:r w:rsidR="004D2990" w:rsidRPr="00C04AAA">
        <w:rPr>
          <w:rFonts w:ascii="宋体" w:eastAsia="宋体" w:hAnsi="宋体" w:cs="创艺简标宋" w:hint="eastAsia"/>
          <w:sz w:val="44"/>
          <w:szCs w:val="44"/>
        </w:rPr>
        <w:t>（征求公众意见）</w:t>
      </w:r>
    </w:p>
    <w:bookmarkEnd w:id="0"/>
    <w:p w14:paraId="02EF8CAC" w14:textId="77777777" w:rsidR="00746422" w:rsidRPr="00E90A52" w:rsidRDefault="00746422">
      <w:pPr>
        <w:pStyle w:val="2"/>
      </w:pPr>
    </w:p>
    <w:p w14:paraId="3AF44E78" w14:textId="22A20926" w:rsidR="00746422" w:rsidRPr="00E90A52" w:rsidRDefault="00746422">
      <w:pPr>
        <w:ind w:firstLineChars="200" w:firstLine="640"/>
        <w:rPr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为加大“黑烟车”整治力度，进一步改善我市环境空气质量，保障广大人民身体健康，依据《中华人民共和国大气污染防治法》《中华人民共和国道路交通安全法》《广东省大气污染防治条例》《广东省机动车排气污染防治条例》《广东省道路交通安全条例》《关于全省决战决胜污染防治攻坚战的命令》（广东省污染防治攻坚战指挥部令</w:t>
      </w:r>
      <w:r w:rsidRPr="00E90A52">
        <w:rPr>
          <w:rFonts w:ascii="仿宋" w:eastAsia="仿宋" w:hAnsi="仿宋"/>
          <w:sz w:val="32"/>
          <w:szCs w:val="32"/>
        </w:rPr>
        <w:t>2020年第1号）</w:t>
      </w:r>
      <w:r w:rsidRPr="00E90A52">
        <w:rPr>
          <w:rFonts w:ascii="仿宋" w:eastAsia="仿宋" w:hAnsi="仿宋" w:hint="eastAsia"/>
          <w:sz w:val="32"/>
          <w:szCs w:val="32"/>
        </w:rPr>
        <w:t>等</w:t>
      </w:r>
      <w:r w:rsidR="00F15E4B" w:rsidRPr="00E90A52">
        <w:rPr>
          <w:rFonts w:ascii="仿宋" w:eastAsia="仿宋" w:hAnsi="仿宋" w:hint="eastAsia"/>
          <w:sz w:val="32"/>
          <w:szCs w:val="32"/>
        </w:rPr>
        <w:t>法律法规和</w:t>
      </w:r>
      <w:r w:rsidRPr="00E90A52">
        <w:rPr>
          <w:rFonts w:ascii="仿宋" w:eastAsia="仿宋" w:hAnsi="仿宋" w:hint="eastAsia"/>
          <w:sz w:val="32"/>
          <w:szCs w:val="32"/>
        </w:rPr>
        <w:t>有关</w:t>
      </w:r>
      <w:r w:rsidRPr="00E90A52">
        <w:rPr>
          <w:rFonts w:ascii="仿宋" w:eastAsia="仿宋" w:hAnsi="仿宋"/>
          <w:sz w:val="32"/>
          <w:szCs w:val="32"/>
        </w:rPr>
        <w:t>规定，</w:t>
      </w:r>
      <w:r w:rsidRPr="00E90A52">
        <w:rPr>
          <w:rFonts w:ascii="仿宋" w:eastAsia="仿宋" w:hAnsi="仿宋" w:hint="eastAsia"/>
          <w:sz w:val="32"/>
          <w:szCs w:val="32"/>
        </w:rPr>
        <w:t>结合我市实际，</w:t>
      </w:r>
      <w:r w:rsidR="00F15E4B" w:rsidRPr="00E90A52">
        <w:rPr>
          <w:rFonts w:ascii="仿宋" w:eastAsia="仿宋" w:hAnsi="仿宋" w:hint="eastAsia"/>
          <w:sz w:val="32"/>
          <w:szCs w:val="32"/>
        </w:rPr>
        <w:t>市人民政府决定</w:t>
      </w:r>
      <w:r w:rsidRPr="00E90A52">
        <w:rPr>
          <w:rFonts w:ascii="仿宋" w:eastAsia="仿宋" w:hAnsi="仿宋"/>
          <w:sz w:val="32"/>
          <w:szCs w:val="32"/>
        </w:rPr>
        <w:t>划定禁止</w:t>
      </w:r>
      <w:r w:rsidRPr="00E90A52">
        <w:rPr>
          <w:rFonts w:ascii="仿宋" w:eastAsia="仿宋" w:hAnsi="仿宋" w:hint="eastAsia"/>
          <w:sz w:val="32"/>
          <w:szCs w:val="32"/>
        </w:rPr>
        <w:t>“黑烟车”</w:t>
      </w:r>
      <w:r w:rsidR="00F15E4B" w:rsidRPr="00E90A52">
        <w:rPr>
          <w:rFonts w:ascii="仿宋" w:eastAsia="仿宋" w:hAnsi="仿宋" w:hint="eastAsia"/>
          <w:sz w:val="32"/>
          <w:szCs w:val="32"/>
        </w:rPr>
        <w:t>上路</w:t>
      </w:r>
      <w:r w:rsidRPr="00E90A52">
        <w:rPr>
          <w:rFonts w:ascii="仿宋" w:eastAsia="仿宋" w:hAnsi="仿宋"/>
          <w:sz w:val="32"/>
          <w:szCs w:val="32"/>
        </w:rPr>
        <w:t>行驶区域。现将有关事项通告如下：</w:t>
      </w:r>
    </w:p>
    <w:p w14:paraId="49731CF9" w14:textId="77777777" w:rsidR="00746422" w:rsidRPr="00E90A52" w:rsidRDefault="00746422">
      <w:pPr>
        <w:pStyle w:val="1"/>
        <w:rPr>
          <w:b/>
          <w:bCs/>
          <w:sz w:val="32"/>
          <w:szCs w:val="32"/>
        </w:rPr>
      </w:pPr>
      <w:r w:rsidRPr="00E90A52">
        <w:rPr>
          <w:rFonts w:hint="eastAsia"/>
          <w:b/>
          <w:bCs/>
          <w:sz w:val="32"/>
          <w:szCs w:val="32"/>
        </w:rPr>
        <w:t>一、禁行对象</w:t>
      </w:r>
    </w:p>
    <w:p w14:paraId="602B62F5" w14:textId="77777777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本通告的禁</w:t>
      </w:r>
      <w:proofErr w:type="gramStart"/>
      <w:r w:rsidRPr="00E90A52">
        <w:rPr>
          <w:rFonts w:ascii="仿宋" w:eastAsia="仿宋" w:hAnsi="仿宋" w:hint="eastAsia"/>
          <w:sz w:val="32"/>
          <w:szCs w:val="32"/>
        </w:rPr>
        <w:t>行对象</w:t>
      </w:r>
      <w:proofErr w:type="gramEnd"/>
      <w:r w:rsidRPr="00E90A52">
        <w:rPr>
          <w:rFonts w:ascii="仿宋" w:eastAsia="仿宋" w:hAnsi="仿宋" w:hint="eastAsia"/>
          <w:sz w:val="32"/>
          <w:szCs w:val="32"/>
        </w:rPr>
        <w:t>为“黑烟车”，</w:t>
      </w:r>
      <w:bookmarkStart w:id="1" w:name="_Hlk66864629"/>
      <w:r w:rsidRPr="00E90A52">
        <w:rPr>
          <w:rFonts w:ascii="仿宋" w:eastAsia="仿宋" w:hAnsi="仿宋" w:hint="eastAsia"/>
          <w:sz w:val="32"/>
          <w:szCs w:val="32"/>
        </w:rPr>
        <w:t>指排放黑烟等可视污染物、烟度值超过林格曼</w:t>
      </w:r>
      <w:r w:rsidRPr="00E90A52">
        <w:rPr>
          <w:rFonts w:ascii="仿宋" w:eastAsia="仿宋" w:hAnsi="仿宋"/>
          <w:sz w:val="32"/>
          <w:szCs w:val="32"/>
        </w:rPr>
        <w:t>1级或</w:t>
      </w:r>
      <w:proofErr w:type="gramStart"/>
      <w:r w:rsidRPr="00E90A52">
        <w:rPr>
          <w:rFonts w:ascii="仿宋" w:eastAsia="仿宋" w:hAnsi="仿宋"/>
          <w:sz w:val="32"/>
          <w:szCs w:val="32"/>
        </w:rPr>
        <w:t>不</w:t>
      </w:r>
      <w:proofErr w:type="gramEnd"/>
      <w:r w:rsidRPr="00E90A52">
        <w:rPr>
          <w:rFonts w:ascii="仿宋" w:eastAsia="仿宋" w:hAnsi="仿宋"/>
          <w:sz w:val="32"/>
          <w:szCs w:val="32"/>
        </w:rPr>
        <w:t>透光度检测结果超过30%的机动车</w:t>
      </w:r>
      <w:bookmarkEnd w:id="1"/>
      <w:r w:rsidRPr="00E90A52">
        <w:rPr>
          <w:rFonts w:ascii="仿宋" w:eastAsia="仿宋" w:hAnsi="仿宋"/>
          <w:sz w:val="32"/>
          <w:szCs w:val="32"/>
        </w:rPr>
        <w:t>。</w:t>
      </w:r>
    </w:p>
    <w:p w14:paraId="7B803D6C" w14:textId="7FA4D939" w:rsidR="00746422" w:rsidRPr="00E90A52" w:rsidRDefault="00746422" w:rsidP="00846934">
      <w:pPr>
        <w:pStyle w:val="1"/>
        <w:rPr>
          <w:b/>
          <w:bCs/>
          <w:sz w:val="32"/>
          <w:szCs w:val="32"/>
        </w:rPr>
      </w:pPr>
      <w:r w:rsidRPr="00E90A52">
        <w:rPr>
          <w:rFonts w:hint="eastAsia"/>
          <w:b/>
          <w:bCs/>
          <w:sz w:val="32"/>
          <w:szCs w:val="32"/>
        </w:rPr>
        <w:t>二、</w:t>
      </w:r>
      <w:r w:rsidR="002B16DB" w:rsidRPr="00E90A52">
        <w:rPr>
          <w:rFonts w:hint="eastAsia"/>
          <w:b/>
          <w:bCs/>
          <w:sz w:val="32"/>
          <w:szCs w:val="32"/>
        </w:rPr>
        <w:t>禁行</w:t>
      </w:r>
      <w:r w:rsidRPr="00E90A52">
        <w:rPr>
          <w:rFonts w:hint="eastAsia"/>
          <w:b/>
          <w:bCs/>
          <w:sz w:val="32"/>
          <w:szCs w:val="32"/>
        </w:rPr>
        <w:t>时间和区域</w:t>
      </w:r>
    </w:p>
    <w:p w14:paraId="01C15212" w14:textId="56FD88D9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66262774"/>
      <w:r w:rsidRPr="00E90A52">
        <w:rPr>
          <w:rFonts w:ascii="仿宋" w:eastAsia="仿宋" w:hAnsi="仿宋" w:hint="eastAsia"/>
          <w:sz w:val="32"/>
          <w:szCs w:val="32"/>
        </w:rPr>
        <w:t>自2021年9月1日起，全天24小时禁止“黑烟车”在中山市中心城区（见附图），包括石岐、东区、西区、南区、五桂山等五个街道办事处、火炬高技术</w:t>
      </w:r>
      <w:r w:rsidR="00DA6DD6" w:rsidRPr="00E90A52">
        <w:rPr>
          <w:rFonts w:ascii="仿宋" w:eastAsia="仿宋" w:hAnsi="仿宋" w:hint="eastAsia"/>
          <w:sz w:val="32"/>
          <w:szCs w:val="32"/>
        </w:rPr>
        <w:t>产业</w:t>
      </w:r>
      <w:r w:rsidRPr="00E90A52">
        <w:rPr>
          <w:rFonts w:ascii="仿宋" w:eastAsia="仿宋" w:hAnsi="仿宋" w:hint="eastAsia"/>
          <w:sz w:val="32"/>
          <w:szCs w:val="32"/>
        </w:rPr>
        <w:t>开发区及港口镇行政区域范围内道路（高速公路除外）通行</w:t>
      </w:r>
      <w:bookmarkEnd w:id="2"/>
      <w:r w:rsidRPr="00E90A52">
        <w:rPr>
          <w:rFonts w:ascii="仿宋" w:eastAsia="仿宋" w:hAnsi="仿宋" w:hint="eastAsia"/>
          <w:sz w:val="32"/>
          <w:szCs w:val="32"/>
        </w:rPr>
        <w:t>。</w:t>
      </w:r>
    </w:p>
    <w:p w14:paraId="70763D80" w14:textId="77777777" w:rsidR="00746422" w:rsidRPr="00E90A52" w:rsidRDefault="00746422" w:rsidP="00656F32">
      <w:pPr>
        <w:pStyle w:val="1"/>
        <w:rPr>
          <w:b/>
          <w:bCs/>
          <w:sz w:val="32"/>
          <w:szCs w:val="32"/>
        </w:rPr>
      </w:pPr>
      <w:r w:rsidRPr="00E90A52">
        <w:rPr>
          <w:rFonts w:hint="eastAsia"/>
          <w:b/>
          <w:bCs/>
          <w:sz w:val="32"/>
          <w:szCs w:val="32"/>
        </w:rPr>
        <w:lastRenderedPageBreak/>
        <w:t>三、处罚措施</w:t>
      </w:r>
    </w:p>
    <w:p w14:paraId="032243DA" w14:textId="77777777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“黑烟车”进入本通告划定禁行区域的，由生态环境部门会同公安机关交通管理部门</w:t>
      </w:r>
      <w:bookmarkStart w:id="3" w:name="_Hlk66863858"/>
      <w:r w:rsidRPr="00E90A52">
        <w:rPr>
          <w:rFonts w:ascii="仿宋" w:eastAsia="仿宋" w:hAnsi="仿宋" w:hint="eastAsia"/>
          <w:sz w:val="32"/>
          <w:szCs w:val="32"/>
        </w:rPr>
        <w:t>采取</w:t>
      </w:r>
      <w:r w:rsidR="0086080B" w:rsidRPr="00E90A52">
        <w:rPr>
          <w:rFonts w:ascii="仿宋" w:eastAsia="仿宋" w:hAnsi="仿宋" w:hint="eastAsia"/>
          <w:sz w:val="32"/>
          <w:szCs w:val="32"/>
        </w:rPr>
        <w:t>路检路查</w:t>
      </w:r>
      <w:r w:rsidRPr="00E90A52">
        <w:rPr>
          <w:rFonts w:ascii="仿宋" w:eastAsia="仿宋" w:hAnsi="仿宋" w:hint="eastAsia"/>
          <w:sz w:val="32"/>
          <w:szCs w:val="32"/>
        </w:rPr>
        <w:t>或</w:t>
      </w:r>
      <w:r w:rsidR="0086080B" w:rsidRPr="00E90A52">
        <w:rPr>
          <w:rFonts w:ascii="仿宋" w:eastAsia="仿宋" w:hAnsi="仿宋" w:hint="eastAsia"/>
          <w:sz w:val="32"/>
          <w:szCs w:val="32"/>
        </w:rPr>
        <w:t>遥感监测</w:t>
      </w:r>
      <w:r w:rsidRPr="00E90A52">
        <w:rPr>
          <w:rFonts w:ascii="仿宋" w:eastAsia="仿宋" w:hAnsi="仿宋" w:hint="eastAsia"/>
          <w:sz w:val="32"/>
          <w:szCs w:val="32"/>
        </w:rPr>
        <w:t>等方式进行取证</w:t>
      </w:r>
      <w:bookmarkEnd w:id="3"/>
      <w:r w:rsidRPr="00E90A52">
        <w:rPr>
          <w:rFonts w:ascii="仿宋" w:eastAsia="仿宋" w:hAnsi="仿宋" w:hint="eastAsia"/>
          <w:sz w:val="32"/>
          <w:szCs w:val="32"/>
        </w:rPr>
        <w:t>，并</w:t>
      </w:r>
      <w:bookmarkStart w:id="4" w:name="_Hlk66263079"/>
      <w:r w:rsidRPr="00E90A52">
        <w:rPr>
          <w:rFonts w:ascii="仿宋" w:eastAsia="仿宋" w:hAnsi="仿宋" w:hint="eastAsia"/>
          <w:sz w:val="32"/>
          <w:szCs w:val="32"/>
        </w:rPr>
        <w:t>由公安机关交通管理部门依据《中华人民共和国道路交通安全法》</w:t>
      </w:r>
      <w:bookmarkStart w:id="5" w:name="_Hlk66717888"/>
      <w:r w:rsidRPr="00E90A52">
        <w:rPr>
          <w:rFonts w:ascii="仿宋" w:eastAsia="仿宋" w:hAnsi="仿宋" w:hint="eastAsia"/>
          <w:sz w:val="32"/>
          <w:szCs w:val="32"/>
        </w:rPr>
        <w:t>《广东省道路交通安全条例》</w:t>
      </w:r>
      <w:bookmarkEnd w:id="5"/>
      <w:r w:rsidRPr="00E90A52">
        <w:rPr>
          <w:rFonts w:ascii="仿宋" w:eastAsia="仿宋" w:hAnsi="仿宋" w:hint="eastAsia"/>
          <w:sz w:val="32"/>
          <w:szCs w:val="32"/>
        </w:rPr>
        <w:t>及《机动车驾驶证申领和使用规定》（公安部第139号令）规定，对机动车驾驶人处200元罚款并记3分。</w:t>
      </w:r>
    </w:p>
    <w:bookmarkEnd w:id="4"/>
    <w:p w14:paraId="5491BF69" w14:textId="77777777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本通告</w:t>
      </w:r>
      <w:bookmarkStart w:id="6" w:name="_Hlk66263133"/>
      <w:r w:rsidRPr="00E90A52">
        <w:rPr>
          <w:rFonts w:ascii="仿宋" w:eastAsia="仿宋" w:hAnsi="仿宋" w:hint="eastAsia"/>
          <w:sz w:val="32"/>
          <w:szCs w:val="32"/>
        </w:rPr>
        <w:t>施行后的第一个月为过渡期，对过渡期内违反本通告规定的机动车驾驶人，采取警示和教育为主</w:t>
      </w:r>
      <w:bookmarkEnd w:id="6"/>
      <w:r w:rsidRPr="00E90A52">
        <w:rPr>
          <w:rFonts w:ascii="仿宋" w:eastAsia="仿宋" w:hAnsi="仿宋" w:hint="eastAsia"/>
          <w:sz w:val="32"/>
          <w:szCs w:val="32"/>
        </w:rPr>
        <w:t>；</w:t>
      </w:r>
      <w:bookmarkStart w:id="7" w:name="_Hlk66263165"/>
      <w:r w:rsidRPr="00E90A52">
        <w:rPr>
          <w:rFonts w:ascii="仿宋" w:eastAsia="仿宋" w:hAnsi="仿宋" w:hint="eastAsia"/>
          <w:sz w:val="32"/>
          <w:szCs w:val="32"/>
        </w:rPr>
        <w:t>过渡期满后依法进行处罚</w:t>
      </w:r>
      <w:bookmarkEnd w:id="7"/>
      <w:r w:rsidRPr="00E90A52">
        <w:rPr>
          <w:rFonts w:ascii="仿宋" w:eastAsia="仿宋" w:hAnsi="仿宋" w:hint="eastAsia"/>
          <w:sz w:val="32"/>
          <w:szCs w:val="32"/>
        </w:rPr>
        <w:t>。</w:t>
      </w:r>
    </w:p>
    <w:p w14:paraId="76690858" w14:textId="60182758" w:rsidR="00746422" w:rsidRPr="00E90A52" w:rsidRDefault="00746422" w:rsidP="00656F32">
      <w:pPr>
        <w:pStyle w:val="1"/>
        <w:rPr>
          <w:b/>
          <w:bCs/>
          <w:sz w:val="32"/>
          <w:szCs w:val="32"/>
        </w:rPr>
      </w:pPr>
      <w:r w:rsidRPr="00E90A52">
        <w:rPr>
          <w:rFonts w:hint="eastAsia"/>
          <w:b/>
          <w:bCs/>
          <w:sz w:val="32"/>
          <w:szCs w:val="32"/>
        </w:rPr>
        <w:t>四、</w:t>
      </w:r>
      <w:r w:rsidR="002B16DB" w:rsidRPr="00E90A52">
        <w:rPr>
          <w:rFonts w:hint="eastAsia"/>
          <w:b/>
          <w:bCs/>
          <w:sz w:val="32"/>
          <w:szCs w:val="32"/>
        </w:rPr>
        <w:t>禁行</w:t>
      </w:r>
      <w:r w:rsidRPr="00E90A52">
        <w:rPr>
          <w:rFonts w:hint="eastAsia"/>
          <w:b/>
          <w:bCs/>
          <w:sz w:val="32"/>
          <w:szCs w:val="32"/>
        </w:rPr>
        <w:t>标志牌</w:t>
      </w:r>
    </w:p>
    <w:p w14:paraId="367209B6" w14:textId="36396703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“黑烟车”</w:t>
      </w:r>
      <w:r w:rsidR="002B16DB" w:rsidRPr="00E90A52">
        <w:rPr>
          <w:rFonts w:ascii="仿宋" w:eastAsia="仿宋" w:hAnsi="仿宋" w:hint="eastAsia"/>
          <w:sz w:val="32"/>
          <w:szCs w:val="32"/>
        </w:rPr>
        <w:t>禁</w:t>
      </w:r>
      <w:r w:rsidRPr="00E90A52">
        <w:rPr>
          <w:rFonts w:ascii="仿宋" w:eastAsia="仿宋" w:hAnsi="仿宋" w:hint="eastAsia"/>
          <w:sz w:val="32"/>
          <w:szCs w:val="32"/>
        </w:rPr>
        <w:t>行标志牌主标为国家规定的“禁止机动车通行”禁令标志，下面辅以“</w:t>
      </w:r>
      <w:r w:rsidR="00EE097F" w:rsidRPr="00E90A52">
        <w:rPr>
          <w:rFonts w:ascii="仿宋" w:eastAsia="仿宋" w:hAnsi="仿宋" w:hint="eastAsia"/>
          <w:sz w:val="32"/>
          <w:szCs w:val="32"/>
        </w:rPr>
        <w:t>排放黑烟等可视污染物的机动车</w:t>
      </w:r>
      <w:r w:rsidRPr="00E90A52">
        <w:rPr>
          <w:rFonts w:ascii="仿宋" w:eastAsia="仿宋" w:hAnsi="仿宋" w:hint="eastAsia"/>
          <w:sz w:val="32"/>
          <w:szCs w:val="32"/>
        </w:rPr>
        <w:t>”等文字（式样见下图）。</w:t>
      </w:r>
    </w:p>
    <w:p w14:paraId="4FEB5AC4" w14:textId="46010A34" w:rsidR="00746422" w:rsidRPr="00E90A52" w:rsidRDefault="003B260C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E90A52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FC3204E" wp14:editId="6924DB61">
            <wp:extent cx="1314450" cy="17526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2711B" w14:textId="77777777" w:rsidR="00746422" w:rsidRPr="00E90A52" w:rsidRDefault="00746422" w:rsidP="00541116">
      <w:pPr>
        <w:pStyle w:val="1"/>
        <w:rPr>
          <w:b/>
          <w:bCs/>
          <w:sz w:val="32"/>
          <w:szCs w:val="32"/>
        </w:rPr>
      </w:pPr>
      <w:r w:rsidRPr="00E90A52">
        <w:rPr>
          <w:rFonts w:hint="eastAsia"/>
          <w:b/>
          <w:bCs/>
          <w:sz w:val="32"/>
          <w:szCs w:val="32"/>
        </w:rPr>
        <w:t>五、期限</w:t>
      </w:r>
    </w:p>
    <w:p w14:paraId="3E0A00CF" w14:textId="77777777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8" w:name="_Hlk66263280"/>
      <w:r w:rsidRPr="00E90A52">
        <w:rPr>
          <w:rFonts w:ascii="仿宋" w:eastAsia="仿宋" w:hAnsi="仿宋" w:hint="eastAsia"/>
          <w:sz w:val="32"/>
          <w:szCs w:val="32"/>
        </w:rPr>
        <w:t>本通告自2021年9月1日起施行，有效期5年</w:t>
      </w:r>
      <w:bookmarkEnd w:id="8"/>
      <w:r w:rsidRPr="00E90A52">
        <w:rPr>
          <w:rFonts w:ascii="仿宋" w:eastAsia="仿宋" w:hAnsi="仿宋" w:hint="eastAsia"/>
          <w:sz w:val="32"/>
          <w:szCs w:val="32"/>
        </w:rPr>
        <w:t>。</w:t>
      </w:r>
    </w:p>
    <w:p w14:paraId="159ECC8C" w14:textId="77777777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lastRenderedPageBreak/>
        <w:t>附图：中山市“黑烟车”禁行区域范围示意图</w:t>
      </w:r>
    </w:p>
    <w:p w14:paraId="0819DF2B" w14:textId="77777777" w:rsidR="00746422" w:rsidRPr="00E90A52" w:rsidRDefault="007464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附件：《中山市划定禁止“黑烟车”上路行驶区域的通告》政策解读</w:t>
      </w:r>
    </w:p>
    <w:p w14:paraId="639332F6" w14:textId="77777777" w:rsidR="00746422" w:rsidRPr="00E90A52" w:rsidRDefault="00746422">
      <w:pPr>
        <w:rPr>
          <w:rFonts w:ascii="仿宋" w:eastAsia="仿宋" w:hAnsi="仿宋"/>
          <w:sz w:val="32"/>
          <w:szCs w:val="32"/>
        </w:rPr>
      </w:pPr>
    </w:p>
    <w:p w14:paraId="2116E601" w14:textId="77777777" w:rsidR="00746422" w:rsidRPr="00E90A52" w:rsidRDefault="0074642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中山市人民政府</w:t>
      </w:r>
    </w:p>
    <w:p w14:paraId="068277A7" w14:textId="77777777" w:rsidR="00746422" w:rsidRPr="00E90A52" w:rsidRDefault="0074642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t>2021年 月 日</w:t>
      </w:r>
    </w:p>
    <w:p w14:paraId="5634F97D" w14:textId="77777777" w:rsidR="00746422" w:rsidRPr="00E90A52" w:rsidRDefault="00746422">
      <w:pPr>
        <w:rPr>
          <w:rFonts w:ascii="仿宋" w:eastAsia="仿宋" w:hAnsi="仿宋"/>
          <w:sz w:val="28"/>
          <w:szCs w:val="28"/>
        </w:rPr>
      </w:pPr>
    </w:p>
    <w:p w14:paraId="4954169D" w14:textId="77777777" w:rsidR="00746422" w:rsidRPr="00E90A52" w:rsidRDefault="00746422">
      <w:pPr>
        <w:rPr>
          <w:rFonts w:ascii="仿宋" w:eastAsia="仿宋" w:hAnsi="仿宋"/>
          <w:sz w:val="28"/>
          <w:szCs w:val="28"/>
        </w:rPr>
      </w:pPr>
      <w:r w:rsidRPr="00E90A52">
        <w:rPr>
          <w:rFonts w:ascii="仿宋" w:eastAsia="仿宋" w:hAnsi="仿宋" w:hint="eastAsia"/>
          <w:sz w:val="28"/>
          <w:szCs w:val="28"/>
        </w:rPr>
        <w:br w:type="page"/>
      </w:r>
    </w:p>
    <w:p w14:paraId="39F45595" w14:textId="77777777" w:rsidR="00746422" w:rsidRDefault="00746422">
      <w:pPr>
        <w:rPr>
          <w:rFonts w:ascii="仿宋" w:eastAsia="仿宋" w:hAnsi="仿宋"/>
          <w:sz w:val="32"/>
          <w:szCs w:val="32"/>
        </w:rPr>
      </w:pPr>
      <w:r w:rsidRPr="00E90A52">
        <w:rPr>
          <w:rFonts w:ascii="仿宋" w:eastAsia="仿宋" w:hAnsi="仿宋" w:hint="eastAsia"/>
          <w:sz w:val="32"/>
          <w:szCs w:val="32"/>
        </w:rPr>
        <w:lastRenderedPageBreak/>
        <w:t>附图：</w:t>
      </w:r>
    </w:p>
    <w:p w14:paraId="6D841915" w14:textId="07C06823" w:rsidR="00746422" w:rsidRDefault="001F3DD7">
      <w:r>
        <w:rPr>
          <w:noProof/>
        </w:rPr>
        <w:drawing>
          <wp:inline distT="0" distB="0" distL="0" distR="0" wp14:anchorId="5A22A307" wp14:editId="2A9C3F67">
            <wp:extent cx="5274310" cy="74529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4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9428" w14:textId="77777777" w:rsidR="00773859" w:rsidRDefault="00773859" w:rsidP="0086080B">
      <w:r>
        <w:separator/>
      </w:r>
    </w:p>
  </w:endnote>
  <w:endnote w:type="continuationSeparator" w:id="0">
    <w:p w14:paraId="40C7AAAA" w14:textId="77777777" w:rsidR="00773859" w:rsidRDefault="00773859" w:rsidP="0086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06D5" w14:textId="77777777" w:rsidR="00773859" w:rsidRDefault="00773859" w:rsidP="0086080B">
      <w:r>
        <w:separator/>
      </w:r>
    </w:p>
  </w:footnote>
  <w:footnote w:type="continuationSeparator" w:id="0">
    <w:p w14:paraId="7C5257B6" w14:textId="77777777" w:rsidR="00773859" w:rsidRDefault="00773859" w:rsidP="0086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14"/>
    <w:rsid w:val="0001262A"/>
    <w:rsid w:val="00036166"/>
    <w:rsid w:val="0004579D"/>
    <w:rsid w:val="00055C80"/>
    <w:rsid w:val="00084499"/>
    <w:rsid w:val="000C7ACB"/>
    <w:rsid w:val="000F6EB5"/>
    <w:rsid w:val="001106EB"/>
    <w:rsid w:val="00152D77"/>
    <w:rsid w:val="0015487E"/>
    <w:rsid w:val="001621F0"/>
    <w:rsid w:val="001F3DD7"/>
    <w:rsid w:val="00247194"/>
    <w:rsid w:val="00257BF6"/>
    <w:rsid w:val="002A5489"/>
    <w:rsid w:val="002B16DB"/>
    <w:rsid w:val="002B330F"/>
    <w:rsid w:val="002B532A"/>
    <w:rsid w:val="002E7E52"/>
    <w:rsid w:val="00315915"/>
    <w:rsid w:val="00330D9F"/>
    <w:rsid w:val="00331793"/>
    <w:rsid w:val="00372BCF"/>
    <w:rsid w:val="00392EAB"/>
    <w:rsid w:val="003974C9"/>
    <w:rsid w:val="003A4B18"/>
    <w:rsid w:val="003B260C"/>
    <w:rsid w:val="003B28D2"/>
    <w:rsid w:val="003E2B9A"/>
    <w:rsid w:val="003E55B5"/>
    <w:rsid w:val="00410CD5"/>
    <w:rsid w:val="0044607E"/>
    <w:rsid w:val="00476FD3"/>
    <w:rsid w:val="004A0961"/>
    <w:rsid w:val="004D2990"/>
    <w:rsid w:val="00516F34"/>
    <w:rsid w:val="00541116"/>
    <w:rsid w:val="00597FA0"/>
    <w:rsid w:val="005B1AAE"/>
    <w:rsid w:val="005B777D"/>
    <w:rsid w:val="005F2114"/>
    <w:rsid w:val="00602134"/>
    <w:rsid w:val="00614299"/>
    <w:rsid w:val="00656F32"/>
    <w:rsid w:val="0066318D"/>
    <w:rsid w:val="00693825"/>
    <w:rsid w:val="006A208E"/>
    <w:rsid w:val="006B3C09"/>
    <w:rsid w:val="006E454F"/>
    <w:rsid w:val="006F0753"/>
    <w:rsid w:val="00700429"/>
    <w:rsid w:val="007046C9"/>
    <w:rsid w:val="00705082"/>
    <w:rsid w:val="007150C7"/>
    <w:rsid w:val="00733EE8"/>
    <w:rsid w:val="00746422"/>
    <w:rsid w:val="00746776"/>
    <w:rsid w:val="0075566C"/>
    <w:rsid w:val="007604F5"/>
    <w:rsid w:val="00762D03"/>
    <w:rsid w:val="00773859"/>
    <w:rsid w:val="00785C77"/>
    <w:rsid w:val="007B20F8"/>
    <w:rsid w:val="00817EDA"/>
    <w:rsid w:val="00846934"/>
    <w:rsid w:val="0086080B"/>
    <w:rsid w:val="00881E15"/>
    <w:rsid w:val="008A5F12"/>
    <w:rsid w:val="008A7AEE"/>
    <w:rsid w:val="008D64E7"/>
    <w:rsid w:val="008E0847"/>
    <w:rsid w:val="0090274C"/>
    <w:rsid w:val="00925301"/>
    <w:rsid w:val="00927FF0"/>
    <w:rsid w:val="00932894"/>
    <w:rsid w:val="009353E9"/>
    <w:rsid w:val="00937450"/>
    <w:rsid w:val="00943148"/>
    <w:rsid w:val="0094514C"/>
    <w:rsid w:val="0095791B"/>
    <w:rsid w:val="00964AB9"/>
    <w:rsid w:val="0097362F"/>
    <w:rsid w:val="009774DC"/>
    <w:rsid w:val="00993617"/>
    <w:rsid w:val="009A6C9A"/>
    <w:rsid w:val="009B1EE5"/>
    <w:rsid w:val="009C770E"/>
    <w:rsid w:val="00A253ED"/>
    <w:rsid w:val="00AB0840"/>
    <w:rsid w:val="00AF5D46"/>
    <w:rsid w:val="00B1242D"/>
    <w:rsid w:val="00BA03AD"/>
    <w:rsid w:val="00BD0B2A"/>
    <w:rsid w:val="00C04AAA"/>
    <w:rsid w:val="00C079F3"/>
    <w:rsid w:val="00C71580"/>
    <w:rsid w:val="00C96635"/>
    <w:rsid w:val="00CA60EB"/>
    <w:rsid w:val="00CE6DA5"/>
    <w:rsid w:val="00D2316F"/>
    <w:rsid w:val="00D2351B"/>
    <w:rsid w:val="00D31226"/>
    <w:rsid w:val="00D82497"/>
    <w:rsid w:val="00DA6DD6"/>
    <w:rsid w:val="00DF3FCC"/>
    <w:rsid w:val="00E90A52"/>
    <w:rsid w:val="00EB144D"/>
    <w:rsid w:val="00EB38C1"/>
    <w:rsid w:val="00EE097F"/>
    <w:rsid w:val="00F0314D"/>
    <w:rsid w:val="00F03CB5"/>
    <w:rsid w:val="00F11EB2"/>
    <w:rsid w:val="00F15E4B"/>
    <w:rsid w:val="00F31DD0"/>
    <w:rsid w:val="00FA5E0C"/>
    <w:rsid w:val="00FB28FC"/>
    <w:rsid w:val="00FF1E59"/>
    <w:rsid w:val="122225D7"/>
    <w:rsid w:val="14300C88"/>
    <w:rsid w:val="2133731A"/>
    <w:rsid w:val="2B7461F0"/>
    <w:rsid w:val="2DD51430"/>
    <w:rsid w:val="495C143C"/>
    <w:rsid w:val="4B911E8A"/>
    <w:rsid w:val="4B962054"/>
    <w:rsid w:val="53A22DE3"/>
    <w:rsid w:val="6829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A84B8"/>
  <w15:chartTrackingRefBased/>
  <w15:docId w15:val="{C6DCF04D-5DFF-4856-B8D9-0364F9F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Lines="50" w:before="156" w:afterLines="50" w:after="156"/>
      <w:outlineLvl w:val="0"/>
    </w:pPr>
    <w:rPr>
      <w:rFonts w:ascii="黑体" w:eastAsia="黑体" w:hAnsi="黑体"/>
      <w:sz w:val="30"/>
      <w:szCs w:val="30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link w:val="20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3">
    <w:name w:val="页眉 字符"/>
    <w:link w:val="a4"/>
    <w:uiPriority w:val="99"/>
    <w:qFormat/>
    <w:rPr>
      <w:sz w:val="18"/>
      <w:szCs w:val="18"/>
    </w:rPr>
  </w:style>
  <w:style w:type="character" w:styleId="a5">
    <w:name w:val="annotation reference"/>
    <w:uiPriority w:val="99"/>
    <w:unhideWhenUsed/>
    <w:qFormat/>
    <w:rPr>
      <w:sz w:val="21"/>
      <w:szCs w:val="21"/>
    </w:rPr>
  </w:style>
  <w:style w:type="character" w:customStyle="1" w:styleId="a6">
    <w:name w:val="页脚 字符"/>
    <w:link w:val="a7"/>
    <w:uiPriority w:val="99"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  <w:qFormat/>
  </w:style>
  <w:style w:type="character" w:customStyle="1" w:styleId="aa">
    <w:name w:val="批注主题 字符"/>
    <w:link w:val="ab"/>
    <w:uiPriority w:val="99"/>
    <w:semiHidden/>
    <w:qFormat/>
    <w:rPr>
      <w:b/>
      <w:bCs/>
    </w:rPr>
  </w:style>
  <w:style w:type="character" w:customStyle="1" w:styleId="10">
    <w:name w:val="标题 1 字符"/>
    <w:link w:val="1"/>
    <w:uiPriority w:val="9"/>
    <w:qFormat/>
    <w:rPr>
      <w:rFonts w:ascii="黑体" w:eastAsia="黑体" w:hAnsi="黑体"/>
      <w:sz w:val="30"/>
      <w:szCs w:val="30"/>
    </w:rPr>
  </w:style>
  <w:style w:type="paragraph" w:styleId="ab">
    <w:name w:val="annotation subject"/>
    <w:basedOn w:val="a9"/>
    <w:next w:val="a9"/>
    <w:link w:val="aa"/>
    <w:uiPriority w:val="99"/>
    <w:unhideWhenUsed/>
    <w:qFormat/>
    <w:rPr>
      <w:b/>
      <w:bCs/>
    </w:r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link w:val="a8"/>
    <w:uiPriority w:val="99"/>
    <w:unhideWhenUsed/>
    <w:qFormat/>
    <w:pPr>
      <w:jc w:val="left"/>
    </w:p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table" w:styleId="ac">
    <w:name w:val="Table Grid"/>
    <w:basedOn w:val="a1"/>
    <w:qFormat/>
    <w:pPr>
      <w:widowControl w:val="0"/>
      <w:jc w:val="both"/>
    </w:pPr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11</cp:revision>
  <cp:lastPrinted>2021-04-25T08:16:00Z</cp:lastPrinted>
  <dcterms:created xsi:type="dcterms:W3CDTF">2021-04-25T06:43:00Z</dcterms:created>
  <dcterms:modified xsi:type="dcterms:W3CDTF">2021-04-27T02:53:00Z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