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LineNumbers/>
        <w:adjustRightInd w:val="0"/>
        <w:snapToGrid w:val="0"/>
        <w:spacing w:line="574" w:lineRule="exact"/>
        <w:jc w:val="center"/>
        <w:rPr>
          <w:rFonts w:hint="eastAsia" w:ascii="方正小标宋简体" w:hAnsi="方正小标宋简体" w:eastAsia="方正小标宋简体" w:cs="方正小标宋简体"/>
          <w:snapToGrid w:val="0"/>
          <w:spacing w:val="-6"/>
          <w:kern w:val="32"/>
          <w:sz w:val="44"/>
          <w:szCs w:val="44"/>
          <w:lang w:eastAsia="zh-CN"/>
        </w:rPr>
      </w:pPr>
      <w:bookmarkStart w:id="0" w:name="_Hlk66263700"/>
      <w:r>
        <w:rPr>
          <w:rFonts w:hint="eastAsia" w:ascii="方正小标宋简体" w:hAnsi="方正小标宋简体" w:eastAsia="方正小标宋简体" w:cs="方正小标宋简体"/>
          <w:snapToGrid w:val="0"/>
          <w:spacing w:val="-6"/>
          <w:kern w:val="32"/>
          <w:sz w:val="44"/>
          <w:szCs w:val="44"/>
        </w:rPr>
        <w:t>中山市人民政府关于划定禁止</w:t>
      </w:r>
      <w:r>
        <w:rPr>
          <w:rFonts w:hint="eastAsia" w:ascii="方正小标宋简体" w:hAnsi="方正小标宋简体" w:eastAsia="方正小标宋简体" w:cs="方正小标宋简体"/>
          <w:snapToGrid w:val="0"/>
          <w:spacing w:val="-6"/>
          <w:kern w:val="32"/>
          <w:sz w:val="44"/>
          <w:szCs w:val="44"/>
          <w:lang w:eastAsia="zh-CN"/>
        </w:rPr>
        <w:t>“黑烟车”</w:t>
      </w:r>
    </w:p>
    <w:p>
      <w:pPr>
        <w:suppressLineNumbers/>
        <w:adjustRightInd w:val="0"/>
        <w:snapToGrid w:val="0"/>
        <w:spacing w:line="574" w:lineRule="exact"/>
        <w:jc w:val="center"/>
        <w:rPr>
          <w:rFonts w:ascii="方正小标宋简体" w:hAnsi="方正小标宋简体" w:eastAsia="方正小标宋简体" w:cs="方正小标宋简体"/>
          <w:snapToGrid w:val="0"/>
          <w:spacing w:val="-6"/>
          <w:kern w:val="32"/>
          <w:sz w:val="44"/>
          <w:szCs w:val="44"/>
        </w:rPr>
      </w:pPr>
      <w:r>
        <w:rPr>
          <w:rFonts w:hint="eastAsia" w:ascii="方正小标宋简体" w:hAnsi="方正小标宋简体" w:eastAsia="方正小标宋简体" w:cs="方正小标宋简体"/>
          <w:snapToGrid w:val="0"/>
          <w:spacing w:val="-6"/>
          <w:kern w:val="32"/>
          <w:sz w:val="44"/>
          <w:szCs w:val="44"/>
        </w:rPr>
        <w:t>上路行驶区域的通告</w:t>
      </w:r>
    </w:p>
    <w:p>
      <w:pPr>
        <w:suppressLineNumbers/>
        <w:adjustRightInd w:val="0"/>
        <w:snapToGrid w:val="0"/>
        <w:spacing w:line="574" w:lineRule="exact"/>
        <w:rPr>
          <w:rFonts w:ascii="仿宋_GB2312" w:hAnsi="Times New Roman" w:eastAsia="仿宋_GB2312"/>
          <w:snapToGrid w:val="0"/>
          <w:spacing w:val="-6"/>
          <w:kern w:val="32"/>
          <w:sz w:val="32"/>
          <w:szCs w:val="24"/>
        </w:rPr>
      </w:pPr>
    </w:p>
    <w:p>
      <w:pPr>
        <w:suppressLineNumbers/>
        <w:adjustRightInd w:val="0"/>
        <w:snapToGrid w:val="0"/>
        <w:spacing w:line="574" w:lineRule="exact"/>
        <w:ind w:firstLine="616" w:firstLineChars="200"/>
        <w:rPr>
          <w:rFonts w:ascii="仿宋_GB2312" w:hAnsi="Times New Roman" w:eastAsia="仿宋_GB2312"/>
          <w:snapToGrid w:val="0"/>
          <w:spacing w:val="-6"/>
          <w:kern w:val="32"/>
          <w:sz w:val="32"/>
          <w:szCs w:val="24"/>
        </w:rPr>
      </w:pPr>
      <w:r>
        <w:rPr>
          <w:rFonts w:hint="eastAsia" w:ascii="仿宋_GB2312" w:hAnsi="Times New Roman" w:eastAsia="仿宋_GB2312"/>
          <w:snapToGrid w:val="0"/>
          <w:spacing w:val="-6"/>
          <w:kern w:val="32"/>
          <w:sz w:val="32"/>
          <w:szCs w:val="24"/>
        </w:rPr>
        <w:t>为加大</w:t>
      </w:r>
      <w:r>
        <w:rPr>
          <w:rFonts w:hint="eastAsia" w:ascii="仿宋_GB2312" w:hAnsi="Times New Roman" w:eastAsia="仿宋_GB2312"/>
          <w:snapToGrid w:val="0"/>
          <w:spacing w:val="-6"/>
          <w:kern w:val="32"/>
          <w:sz w:val="32"/>
          <w:szCs w:val="24"/>
          <w:lang w:eastAsia="zh-CN"/>
        </w:rPr>
        <w:t>“黑烟车”</w:t>
      </w:r>
      <w:r>
        <w:rPr>
          <w:rFonts w:hint="eastAsia" w:ascii="仿宋_GB2312" w:hAnsi="Times New Roman" w:eastAsia="仿宋_GB2312"/>
          <w:snapToGrid w:val="0"/>
          <w:spacing w:val="-6"/>
          <w:kern w:val="32"/>
          <w:sz w:val="32"/>
          <w:szCs w:val="24"/>
        </w:rPr>
        <w:t>整治力度，进一步改善我市环境空气质量，保障广大人民身体健康，依据《中华人民共和国大气污染防治法》《中华人民共和国道路交通安全法》《广东省大气污染防治条例》《广东省机动车排气污染防治条例》《广东省道路交通安全条例》《关于全省决战决胜污染防治攻坚战的命令》（广东省污染防治攻坚战指挥部令2020年第1号）等法律法规和有关规定，结合我市实际，市人民政府决定划定禁止</w:t>
      </w:r>
      <w:r>
        <w:rPr>
          <w:rFonts w:hint="eastAsia" w:ascii="仿宋_GB2312" w:hAnsi="Times New Roman" w:eastAsia="仿宋_GB2312"/>
          <w:snapToGrid w:val="0"/>
          <w:spacing w:val="-6"/>
          <w:kern w:val="32"/>
          <w:sz w:val="32"/>
          <w:szCs w:val="24"/>
          <w:lang w:eastAsia="zh-CN"/>
        </w:rPr>
        <w:t>“黑烟车”</w:t>
      </w:r>
      <w:r>
        <w:rPr>
          <w:rFonts w:hint="eastAsia" w:ascii="仿宋_GB2312" w:hAnsi="Times New Roman" w:eastAsia="仿宋_GB2312"/>
          <w:snapToGrid w:val="0"/>
          <w:spacing w:val="-6"/>
          <w:kern w:val="32"/>
          <w:sz w:val="32"/>
          <w:szCs w:val="24"/>
        </w:rPr>
        <w:t>上路行驶区域。现将有关事项通告如下：</w:t>
      </w:r>
    </w:p>
    <w:p>
      <w:pPr>
        <w:suppressLineNumbers/>
        <w:adjustRightInd w:val="0"/>
        <w:snapToGrid w:val="0"/>
        <w:spacing w:line="574" w:lineRule="exact"/>
        <w:ind w:firstLine="616" w:firstLineChars="200"/>
        <w:rPr>
          <w:rFonts w:ascii="黑体" w:hAnsi="黑体" w:eastAsia="黑体" w:cs="黑体"/>
          <w:snapToGrid w:val="0"/>
          <w:spacing w:val="-6"/>
          <w:kern w:val="32"/>
          <w:sz w:val="32"/>
          <w:szCs w:val="24"/>
        </w:rPr>
      </w:pPr>
      <w:r>
        <w:rPr>
          <w:rFonts w:hint="eastAsia" w:ascii="黑体" w:hAnsi="黑体" w:eastAsia="黑体" w:cs="黑体"/>
          <w:snapToGrid w:val="0"/>
          <w:spacing w:val="-6"/>
          <w:kern w:val="32"/>
          <w:sz w:val="32"/>
          <w:szCs w:val="24"/>
        </w:rPr>
        <w:t>一、禁行对象</w:t>
      </w:r>
    </w:p>
    <w:p>
      <w:pPr>
        <w:suppressLineNumbers/>
        <w:adjustRightInd w:val="0"/>
        <w:snapToGrid w:val="0"/>
        <w:spacing w:line="574" w:lineRule="exact"/>
        <w:ind w:firstLine="616" w:firstLineChars="200"/>
        <w:rPr>
          <w:rFonts w:ascii="仿宋_GB2312" w:hAnsi="Times New Roman" w:eastAsia="仿宋_GB2312"/>
          <w:snapToGrid w:val="0"/>
          <w:spacing w:val="-6"/>
          <w:kern w:val="32"/>
          <w:sz w:val="32"/>
          <w:szCs w:val="24"/>
        </w:rPr>
      </w:pPr>
      <w:r>
        <w:rPr>
          <w:rFonts w:hint="eastAsia" w:ascii="仿宋_GB2312" w:hAnsi="Times New Roman" w:eastAsia="仿宋_GB2312"/>
          <w:snapToGrid w:val="0"/>
          <w:spacing w:val="-6"/>
          <w:kern w:val="32"/>
          <w:sz w:val="32"/>
          <w:szCs w:val="24"/>
        </w:rPr>
        <w:t>本通告的禁行对象为</w:t>
      </w:r>
      <w:r>
        <w:rPr>
          <w:rFonts w:hint="eastAsia" w:ascii="仿宋_GB2312" w:hAnsi="Times New Roman" w:eastAsia="仿宋_GB2312"/>
          <w:snapToGrid w:val="0"/>
          <w:spacing w:val="-6"/>
          <w:kern w:val="32"/>
          <w:sz w:val="32"/>
          <w:szCs w:val="24"/>
          <w:lang w:eastAsia="zh-CN"/>
        </w:rPr>
        <w:t>“黑烟车”</w:t>
      </w:r>
      <w:r>
        <w:rPr>
          <w:rFonts w:hint="eastAsia" w:ascii="仿宋_GB2312" w:hAnsi="Times New Roman" w:eastAsia="仿宋_GB2312"/>
          <w:snapToGrid w:val="0"/>
          <w:spacing w:val="-6"/>
          <w:kern w:val="32"/>
          <w:sz w:val="32"/>
          <w:szCs w:val="24"/>
        </w:rPr>
        <w:t>，指排放有明显可见烟度或烟度值超过林格曼1级的机动车。</w:t>
      </w:r>
    </w:p>
    <w:p>
      <w:pPr>
        <w:suppressLineNumbers/>
        <w:adjustRightInd w:val="0"/>
        <w:snapToGrid w:val="0"/>
        <w:spacing w:line="574" w:lineRule="exact"/>
        <w:ind w:firstLine="616" w:firstLineChars="200"/>
        <w:rPr>
          <w:rFonts w:ascii="黑体" w:hAnsi="黑体" w:eastAsia="黑体" w:cs="黑体"/>
          <w:snapToGrid w:val="0"/>
          <w:spacing w:val="-6"/>
          <w:kern w:val="32"/>
          <w:sz w:val="32"/>
          <w:szCs w:val="24"/>
        </w:rPr>
      </w:pPr>
      <w:r>
        <w:rPr>
          <w:rFonts w:hint="eastAsia" w:ascii="黑体" w:hAnsi="黑体" w:eastAsia="黑体" w:cs="黑体"/>
          <w:snapToGrid w:val="0"/>
          <w:spacing w:val="-6"/>
          <w:kern w:val="32"/>
          <w:sz w:val="32"/>
          <w:szCs w:val="24"/>
        </w:rPr>
        <w:t>二、禁行时间和区域</w:t>
      </w:r>
    </w:p>
    <w:p>
      <w:pPr>
        <w:suppressLineNumbers/>
        <w:adjustRightInd w:val="0"/>
        <w:snapToGrid w:val="0"/>
        <w:spacing w:line="574" w:lineRule="exact"/>
        <w:ind w:firstLine="616" w:firstLineChars="200"/>
        <w:rPr>
          <w:rFonts w:ascii="仿宋_GB2312" w:hAnsi="Times New Roman" w:eastAsia="仿宋_GB2312"/>
          <w:snapToGrid w:val="0"/>
          <w:color w:val="000000" w:themeColor="text1"/>
          <w:spacing w:val="-6"/>
          <w:kern w:val="32"/>
          <w:sz w:val="32"/>
          <w:szCs w:val="24"/>
          <w14:textFill>
            <w14:solidFill>
              <w14:schemeClr w14:val="tx1"/>
            </w14:solidFill>
          </w14:textFill>
        </w:rPr>
      </w:pPr>
      <w:r>
        <w:rPr>
          <w:rFonts w:hint="eastAsia" w:ascii="仿宋_GB2312" w:hAnsi="Times New Roman" w:eastAsia="仿宋_GB2312"/>
          <w:snapToGrid w:val="0"/>
          <w:color w:val="000000" w:themeColor="text1"/>
          <w:spacing w:val="-6"/>
          <w:kern w:val="32"/>
          <w:sz w:val="32"/>
          <w:szCs w:val="24"/>
          <w14:textFill>
            <w14:solidFill>
              <w14:schemeClr w14:val="tx1"/>
            </w14:solidFill>
          </w14:textFill>
        </w:rPr>
        <w:t>自2021年9月1日起，全天24小时禁止</w:t>
      </w:r>
      <w:r>
        <w:rPr>
          <w:rFonts w:hint="eastAsia" w:ascii="仿宋_GB2312" w:hAnsi="Times New Roman" w:eastAsia="仿宋_GB2312"/>
          <w:snapToGrid w:val="0"/>
          <w:color w:val="000000" w:themeColor="text1"/>
          <w:spacing w:val="-6"/>
          <w:kern w:val="32"/>
          <w:sz w:val="32"/>
          <w:szCs w:val="24"/>
          <w:lang w:eastAsia="zh-CN"/>
          <w14:textFill>
            <w14:solidFill>
              <w14:schemeClr w14:val="tx1"/>
            </w14:solidFill>
          </w14:textFill>
        </w:rPr>
        <w:t>“黑烟车”</w:t>
      </w:r>
      <w:r>
        <w:rPr>
          <w:rFonts w:hint="eastAsia" w:ascii="仿宋_GB2312" w:hAnsi="Times New Roman" w:eastAsia="仿宋_GB2312"/>
          <w:snapToGrid w:val="0"/>
          <w:color w:val="000000" w:themeColor="text1"/>
          <w:spacing w:val="-6"/>
          <w:kern w:val="32"/>
          <w:sz w:val="32"/>
          <w:szCs w:val="24"/>
          <w14:textFill>
            <w14:solidFill>
              <w14:schemeClr w14:val="tx1"/>
            </w14:solidFill>
          </w14:textFill>
        </w:rPr>
        <w:t>在中山市行政区域范围内道路行驶。</w:t>
      </w:r>
    </w:p>
    <w:p>
      <w:pPr>
        <w:suppressLineNumbers/>
        <w:adjustRightInd w:val="0"/>
        <w:snapToGrid w:val="0"/>
        <w:spacing w:line="574" w:lineRule="exact"/>
        <w:ind w:firstLine="616" w:firstLineChars="200"/>
        <w:rPr>
          <w:rFonts w:ascii="黑体" w:hAnsi="黑体" w:eastAsia="黑体" w:cs="黑体"/>
          <w:snapToGrid w:val="0"/>
          <w:spacing w:val="-6"/>
          <w:kern w:val="32"/>
          <w:sz w:val="32"/>
          <w:szCs w:val="24"/>
        </w:rPr>
      </w:pPr>
      <w:r>
        <w:rPr>
          <w:rFonts w:hint="eastAsia" w:ascii="黑体" w:hAnsi="黑体" w:eastAsia="黑体" w:cs="黑体"/>
          <w:snapToGrid w:val="0"/>
          <w:spacing w:val="-6"/>
          <w:kern w:val="32"/>
          <w:sz w:val="32"/>
          <w:szCs w:val="24"/>
        </w:rPr>
        <w:t>三、处罚措施</w:t>
      </w:r>
    </w:p>
    <w:p>
      <w:pPr>
        <w:suppressLineNumbers/>
        <w:adjustRightInd w:val="0"/>
        <w:snapToGrid w:val="0"/>
        <w:spacing w:line="574" w:lineRule="exact"/>
        <w:ind w:firstLine="616" w:firstLineChars="200"/>
        <w:rPr>
          <w:rFonts w:ascii="仿宋_GB2312" w:hAnsi="Times New Roman" w:eastAsia="仿宋_GB2312"/>
          <w:snapToGrid w:val="0"/>
          <w:spacing w:val="-6"/>
          <w:kern w:val="32"/>
          <w:sz w:val="32"/>
          <w:szCs w:val="24"/>
        </w:rPr>
      </w:pPr>
      <w:r>
        <w:rPr>
          <w:rFonts w:hint="eastAsia" w:ascii="仿宋_GB2312" w:hAnsi="Times New Roman" w:eastAsia="仿宋_GB2312"/>
          <w:snapToGrid w:val="0"/>
          <w:spacing w:val="-6"/>
          <w:kern w:val="32"/>
          <w:sz w:val="32"/>
          <w:szCs w:val="24"/>
          <w:lang w:eastAsia="zh-CN"/>
        </w:rPr>
        <w:t>“黑烟车”</w:t>
      </w:r>
      <w:r>
        <w:rPr>
          <w:rFonts w:hint="eastAsia" w:ascii="仿宋_GB2312" w:hAnsi="Times New Roman" w:eastAsia="仿宋_GB2312"/>
          <w:snapToGrid w:val="0"/>
          <w:spacing w:val="-6"/>
          <w:kern w:val="32"/>
          <w:sz w:val="32"/>
          <w:szCs w:val="24"/>
        </w:rPr>
        <w:t>进入本通告划定禁行区域的，由生态环境部门会同公安机关交通管理部门采取路检路查或遥感监测等方式进行取证，并由公安机关交通管理部门依据《中华人民共和国道路交通安全法》《广东省道路交通安全条例》及《机动车驾驶证申领和使用规定》（公安部第139号令）规定，对机动车驾驶人处200元罚款并记3分。</w:t>
      </w:r>
    </w:p>
    <w:p>
      <w:pPr>
        <w:suppressLineNumbers/>
        <w:adjustRightInd w:val="0"/>
        <w:snapToGrid w:val="0"/>
        <w:spacing w:line="574" w:lineRule="exact"/>
        <w:ind w:firstLine="616" w:firstLineChars="200"/>
        <w:rPr>
          <w:rFonts w:ascii="仿宋_GB2312" w:hAnsi="Times New Roman" w:eastAsia="仿宋_GB2312"/>
          <w:snapToGrid w:val="0"/>
          <w:spacing w:val="-6"/>
          <w:kern w:val="32"/>
          <w:sz w:val="32"/>
          <w:szCs w:val="24"/>
        </w:rPr>
      </w:pPr>
      <w:r>
        <w:rPr>
          <w:rFonts w:hint="eastAsia" w:ascii="仿宋_GB2312" w:hAnsi="Times New Roman" w:eastAsia="仿宋_GB2312"/>
          <w:snapToGrid w:val="0"/>
          <w:spacing w:val="-6"/>
          <w:kern w:val="32"/>
          <w:sz w:val="32"/>
          <w:szCs w:val="24"/>
        </w:rPr>
        <w:t>本通告施行后的第一个月为过渡期，对过渡期内违反本通告规定的机动车驾驶人，进行警示和教育为主；过渡期满后对违规行为依法进行处罚。</w:t>
      </w:r>
    </w:p>
    <w:p>
      <w:pPr>
        <w:suppressLineNumbers/>
        <w:adjustRightInd w:val="0"/>
        <w:snapToGrid w:val="0"/>
        <w:spacing w:line="574" w:lineRule="exact"/>
        <w:ind w:firstLine="616" w:firstLineChars="200"/>
        <w:rPr>
          <w:rFonts w:ascii="黑体" w:hAnsi="黑体" w:eastAsia="黑体" w:cs="黑体"/>
          <w:snapToGrid w:val="0"/>
          <w:spacing w:val="-6"/>
          <w:kern w:val="32"/>
          <w:sz w:val="32"/>
          <w:szCs w:val="24"/>
        </w:rPr>
      </w:pPr>
      <w:r>
        <w:rPr>
          <w:rFonts w:hint="eastAsia" w:ascii="黑体" w:hAnsi="黑体" w:eastAsia="黑体" w:cs="黑体"/>
          <w:snapToGrid w:val="0"/>
          <w:spacing w:val="-6"/>
          <w:kern w:val="32"/>
          <w:sz w:val="32"/>
          <w:szCs w:val="24"/>
        </w:rPr>
        <w:t>四、禁行标志牌</w:t>
      </w:r>
    </w:p>
    <w:p>
      <w:pPr>
        <w:suppressLineNumbers/>
        <w:adjustRightInd w:val="0"/>
        <w:snapToGrid w:val="0"/>
        <w:spacing w:line="574" w:lineRule="exact"/>
        <w:ind w:firstLine="616" w:firstLineChars="200"/>
        <w:rPr>
          <w:rFonts w:ascii="仿宋_GB2312" w:hAnsi="Times New Roman" w:eastAsia="仿宋_GB2312"/>
          <w:snapToGrid w:val="0"/>
          <w:spacing w:val="-6"/>
          <w:kern w:val="32"/>
          <w:sz w:val="32"/>
          <w:szCs w:val="24"/>
        </w:rPr>
      </w:pPr>
      <w:r>
        <w:rPr>
          <w:rFonts w:hint="eastAsia" w:ascii="仿宋_GB2312" w:hAnsi="Times New Roman" w:eastAsia="仿宋_GB2312"/>
          <w:snapToGrid w:val="0"/>
          <w:spacing w:val="-6"/>
          <w:kern w:val="32"/>
          <w:sz w:val="32"/>
          <w:szCs w:val="24"/>
          <w:lang w:eastAsia="zh-CN"/>
        </w:rPr>
        <w:t>“黑烟车”</w:t>
      </w:r>
      <w:r>
        <w:rPr>
          <w:rFonts w:hint="eastAsia" w:ascii="仿宋_GB2312" w:hAnsi="Times New Roman" w:eastAsia="仿宋_GB2312"/>
          <w:snapToGrid w:val="0"/>
          <w:spacing w:val="-6"/>
          <w:kern w:val="32"/>
          <w:sz w:val="32"/>
          <w:szCs w:val="24"/>
        </w:rPr>
        <w:t>禁行标志牌主标为国家规定的“禁止机动车通行”禁令标志，下面辅以“</w:t>
      </w:r>
      <w:r>
        <w:rPr>
          <w:rFonts w:hint="eastAsia" w:ascii="仿宋_GB2312" w:hAnsi="Times New Roman" w:eastAsia="仿宋_GB2312"/>
          <w:snapToGrid w:val="0"/>
          <w:spacing w:val="-6"/>
          <w:kern w:val="32"/>
          <w:sz w:val="32"/>
          <w:szCs w:val="24"/>
          <w:lang w:eastAsia="zh-CN"/>
        </w:rPr>
        <w:t>“黑烟车”</w:t>
      </w:r>
      <w:r>
        <w:rPr>
          <w:rFonts w:hint="eastAsia" w:ascii="仿宋_GB2312" w:hAnsi="Times New Roman" w:eastAsia="仿宋_GB2312"/>
          <w:snapToGrid w:val="0"/>
          <w:spacing w:val="-6"/>
          <w:kern w:val="32"/>
          <w:sz w:val="32"/>
          <w:szCs w:val="24"/>
        </w:rPr>
        <w:t>”等文字（式样见下图）。</w:t>
      </w:r>
    </w:p>
    <w:p>
      <w:pPr>
        <w:suppressLineNumbers/>
        <w:adjustRightInd w:val="0"/>
        <w:snapToGrid w:val="0"/>
        <w:ind w:firstLine="616" w:firstLineChars="200"/>
        <w:jc w:val="center"/>
        <w:rPr>
          <w:rFonts w:ascii="仿宋_GB2312" w:hAnsi="Times New Roman" w:eastAsia="仿宋_GB2312"/>
          <w:snapToGrid w:val="0"/>
          <w:spacing w:val="-6"/>
          <w:kern w:val="32"/>
          <w:sz w:val="32"/>
          <w:szCs w:val="24"/>
        </w:rPr>
      </w:pPr>
      <w:r>
        <w:rPr>
          <w:rFonts w:hint="eastAsia" w:ascii="仿宋_GB2312" w:hAnsi="Times New Roman" w:eastAsia="仿宋_GB2312"/>
          <w:snapToGrid w:val="0"/>
          <w:spacing w:val="-6"/>
          <w:kern w:val="32"/>
          <w:sz w:val="32"/>
          <w:szCs w:val="24"/>
        </w:rPr>
        <w:drawing>
          <wp:inline distT="0" distB="0" distL="114300" distR="114300">
            <wp:extent cx="1619250" cy="1752600"/>
            <wp:effectExtent l="0" t="0" r="0" b="0"/>
            <wp:docPr id="6" name="图片 6" descr="646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460883"/>
                    <pic:cNvPicPr>
                      <a:picLocks noChangeAspect="1"/>
                    </pic:cNvPicPr>
                  </pic:nvPicPr>
                  <pic:blipFill>
                    <a:blip r:embed="rId5"/>
                    <a:stretch>
                      <a:fillRect/>
                    </a:stretch>
                  </pic:blipFill>
                  <pic:spPr>
                    <a:xfrm>
                      <a:off x="0" y="0"/>
                      <a:ext cx="1619250" cy="1752600"/>
                    </a:xfrm>
                    <a:prstGeom prst="rect">
                      <a:avLst/>
                    </a:prstGeom>
                  </pic:spPr>
                </pic:pic>
              </a:graphicData>
            </a:graphic>
          </wp:inline>
        </w:drawing>
      </w:r>
    </w:p>
    <w:p>
      <w:pPr>
        <w:suppressLineNumbers/>
        <w:adjustRightInd w:val="0"/>
        <w:snapToGrid w:val="0"/>
        <w:spacing w:line="574" w:lineRule="exact"/>
        <w:ind w:firstLine="616" w:firstLineChars="200"/>
        <w:rPr>
          <w:rFonts w:ascii="黑体" w:hAnsi="黑体" w:eastAsia="黑体" w:cs="黑体"/>
          <w:snapToGrid w:val="0"/>
          <w:spacing w:val="-6"/>
          <w:kern w:val="32"/>
          <w:sz w:val="32"/>
          <w:szCs w:val="24"/>
        </w:rPr>
      </w:pPr>
      <w:r>
        <w:rPr>
          <w:rFonts w:hint="eastAsia" w:ascii="黑体" w:hAnsi="黑体" w:eastAsia="黑体" w:cs="黑体"/>
          <w:snapToGrid w:val="0"/>
          <w:spacing w:val="-6"/>
          <w:kern w:val="32"/>
          <w:sz w:val="32"/>
          <w:szCs w:val="24"/>
        </w:rPr>
        <w:t>五、实施时间</w:t>
      </w:r>
    </w:p>
    <w:p>
      <w:pPr>
        <w:suppressLineNumbers/>
        <w:adjustRightInd w:val="0"/>
        <w:snapToGrid w:val="0"/>
        <w:spacing w:line="574" w:lineRule="exact"/>
        <w:ind w:firstLine="616" w:firstLineChars="200"/>
        <w:rPr>
          <w:rFonts w:ascii="仿宋_GB2312" w:hAnsi="Times New Roman" w:eastAsia="仿宋_GB2312"/>
          <w:snapToGrid w:val="0"/>
          <w:spacing w:val="-6"/>
          <w:kern w:val="32"/>
          <w:sz w:val="32"/>
          <w:szCs w:val="24"/>
        </w:rPr>
      </w:pPr>
      <w:r>
        <w:rPr>
          <w:rFonts w:hint="eastAsia" w:ascii="仿宋_GB2312" w:hAnsi="Times New Roman" w:eastAsia="仿宋_GB2312"/>
          <w:snapToGrid w:val="0"/>
          <w:spacing w:val="-6"/>
          <w:kern w:val="32"/>
          <w:sz w:val="32"/>
          <w:szCs w:val="24"/>
        </w:rPr>
        <w:t>本通告自2021年9月1日起施行，有效期5年。</w:t>
      </w:r>
    </w:p>
    <w:p>
      <w:pPr>
        <w:suppressLineNumbers/>
        <w:adjustRightInd w:val="0"/>
        <w:snapToGrid w:val="0"/>
        <w:spacing w:line="574" w:lineRule="exact"/>
        <w:ind w:firstLine="616" w:firstLineChars="200"/>
        <w:rPr>
          <w:rFonts w:ascii="仿宋_GB2312" w:hAnsi="Times New Roman" w:eastAsia="仿宋_GB2312"/>
          <w:snapToGrid w:val="0"/>
          <w:spacing w:val="-6"/>
          <w:kern w:val="32"/>
          <w:sz w:val="32"/>
          <w:szCs w:val="24"/>
        </w:rPr>
      </w:pPr>
    </w:p>
    <w:p>
      <w:pPr>
        <w:suppressLineNumbers/>
        <w:adjustRightInd w:val="0"/>
        <w:snapToGrid w:val="0"/>
        <w:spacing w:line="574" w:lineRule="exact"/>
        <w:ind w:firstLine="616" w:firstLineChars="200"/>
        <w:rPr>
          <w:rFonts w:ascii="仿宋_GB2312" w:hAnsi="Times New Roman" w:eastAsia="仿宋_GB2312"/>
          <w:snapToGrid w:val="0"/>
          <w:spacing w:val="-6"/>
          <w:kern w:val="32"/>
          <w:sz w:val="32"/>
          <w:szCs w:val="24"/>
        </w:rPr>
      </w:pPr>
    </w:p>
    <w:p>
      <w:pPr>
        <w:suppressLineNumbers/>
        <w:adjustRightInd w:val="0"/>
        <w:snapToGrid w:val="0"/>
        <w:spacing w:line="574" w:lineRule="exact"/>
        <w:ind w:firstLine="616" w:firstLineChars="200"/>
        <w:jc w:val="right"/>
        <w:rPr>
          <w:rFonts w:ascii="仿宋_GB2312" w:hAnsi="Times New Roman" w:eastAsia="仿宋_GB2312"/>
          <w:snapToGrid w:val="0"/>
          <w:spacing w:val="-6"/>
          <w:kern w:val="32"/>
          <w:sz w:val="32"/>
          <w:szCs w:val="24"/>
        </w:rPr>
      </w:pPr>
      <w:r>
        <w:rPr>
          <w:rFonts w:hint="eastAsia" w:ascii="仿宋_GB2312" w:hAnsi="Times New Roman" w:eastAsia="仿宋_GB2312"/>
          <w:snapToGrid w:val="0"/>
          <w:spacing w:val="-6"/>
          <w:kern w:val="32"/>
          <w:sz w:val="32"/>
          <w:szCs w:val="24"/>
        </w:rPr>
        <w:t>中山市人民政府</w:t>
      </w:r>
    </w:p>
    <w:p>
      <w:pPr>
        <w:suppressLineNumbers/>
        <w:adjustRightInd w:val="0"/>
        <w:snapToGrid w:val="0"/>
        <w:spacing w:line="574" w:lineRule="exact"/>
        <w:ind w:firstLine="616" w:firstLineChars="200"/>
        <w:jc w:val="right"/>
        <w:rPr>
          <w:rFonts w:ascii="仿宋_GB2312" w:hAnsi="Times New Roman" w:eastAsia="仿宋_GB2312"/>
          <w:snapToGrid w:val="0"/>
          <w:spacing w:val="-6"/>
          <w:kern w:val="32"/>
          <w:sz w:val="32"/>
          <w:szCs w:val="24"/>
        </w:rPr>
      </w:pPr>
      <w:r>
        <w:rPr>
          <w:rFonts w:hint="eastAsia" w:ascii="仿宋_GB2312" w:hAnsi="Times New Roman" w:eastAsia="仿宋_GB2312"/>
          <w:snapToGrid w:val="0"/>
          <w:spacing w:val="-6"/>
          <w:kern w:val="32"/>
          <w:sz w:val="32"/>
          <w:szCs w:val="24"/>
        </w:rPr>
        <w:t xml:space="preserve">2021年 </w:t>
      </w:r>
      <w:r>
        <w:rPr>
          <w:rFonts w:hint="eastAsia" w:ascii="仿宋_GB2312" w:hAnsi="Times New Roman" w:eastAsia="仿宋_GB2312"/>
          <w:snapToGrid w:val="0"/>
          <w:spacing w:val="-6"/>
          <w:kern w:val="32"/>
          <w:sz w:val="32"/>
          <w:szCs w:val="24"/>
          <w:lang w:val="en-US" w:eastAsia="zh-CN"/>
        </w:rPr>
        <w:t xml:space="preserve"> </w:t>
      </w:r>
      <w:r>
        <w:rPr>
          <w:rFonts w:hint="eastAsia" w:ascii="仿宋_GB2312" w:hAnsi="Times New Roman" w:eastAsia="仿宋_GB2312"/>
          <w:snapToGrid w:val="0"/>
          <w:spacing w:val="-6"/>
          <w:kern w:val="32"/>
          <w:sz w:val="32"/>
          <w:szCs w:val="24"/>
        </w:rPr>
        <w:t xml:space="preserve">月 </w:t>
      </w:r>
      <w:r>
        <w:rPr>
          <w:rFonts w:hint="eastAsia" w:ascii="仿宋_GB2312" w:hAnsi="Times New Roman" w:eastAsia="仿宋_GB2312"/>
          <w:snapToGrid w:val="0"/>
          <w:spacing w:val="-6"/>
          <w:kern w:val="32"/>
          <w:sz w:val="32"/>
          <w:szCs w:val="24"/>
          <w:lang w:val="en-US" w:eastAsia="zh-CN"/>
        </w:rPr>
        <w:t xml:space="preserve"> </w:t>
      </w:r>
      <w:r>
        <w:rPr>
          <w:rFonts w:hint="eastAsia" w:ascii="仿宋_GB2312" w:hAnsi="Times New Roman" w:eastAsia="仿宋_GB2312"/>
          <w:snapToGrid w:val="0"/>
          <w:spacing w:val="-6"/>
          <w:kern w:val="32"/>
          <w:sz w:val="32"/>
          <w:szCs w:val="24"/>
        </w:rPr>
        <w:t>日</w:t>
      </w:r>
    </w:p>
    <w:bookmarkEnd w:id="0"/>
    <w:p/>
    <w:p>
      <w:pPr>
        <w:spacing w:line="360" w:lineRule="auto"/>
        <w:ind w:firstLine="640" w:firstLineChars="200"/>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spacing w:val="-12"/>
          <w:sz w:val="32"/>
          <w:szCs w:val="32"/>
        </w:rPr>
      </w:pPr>
      <w:bookmarkStart w:id="1" w:name="_Hlk74126824"/>
      <w:r>
        <w:rPr>
          <w:rFonts w:hint="eastAsia" w:ascii="宋体" w:hAnsi="宋体" w:cs="宋体"/>
          <w:spacing w:val="-12"/>
          <w:sz w:val="32"/>
          <w:szCs w:val="32"/>
        </w:rPr>
        <w:t>《中山市划定禁止</w:t>
      </w:r>
      <w:r>
        <w:rPr>
          <w:rFonts w:hint="eastAsia" w:ascii="宋体" w:hAnsi="宋体" w:cs="宋体"/>
          <w:spacing w:val="-12"/>
          <w:sz w:val="32"/>
          <w:szCs w:val="32"/>
          <w:lang w:eastAsia="zh-CN"/>
        </w:rPr>
        <w:t>“黑烟车”</w:t>
      </w:r>
      <w:r>
        <w:rPr>
          <w:rFonts w:hint="eastAsia" w:ascii="宋体" w:hAnsi="宋体" w:cs="宋体"/>
          <w:spacing w:val="-12"/>
          <w:sz w:val="32"/>
          <w:szCs w:val="32"/>
        </w:rPr>
        <w:t>上路行驶区域的通告（送审稿）》条文注释</w:t>
      </w:r>
    </w:p>
    <w:bookmarkEnd w:id="1"/>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6"/>
        <w:gridCol w:w="6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6" w:type="dxa"/>
          </w:tcPr>
          <w:p>
            <w:pPr>
              <w:widowControl/>
              <w:adjustRightInd w:val="0"/>
              <w:spacing w:line="400" w:lineRule="exact"/>
              <w:jc w:val="center"/>
              <w:rPr>
                <w:rFonts w:ascii="仿宋_GB2312" w:hAnsi="仿宋_GB2312" w:eastAsia="仿宋_GB2312"/>
                <w:sz w:val="24"/>
                <w:szCs w:val="24"/>
              </w:rPr>
            </w:pPr>
            <w:r>
              <w:rPr>
                <w:rFonts w:hint="eastAsia" w:ascii="仿宋_GB2312" w:hAnsi="仿宋_GB2312" w:eastAsia="仿宋_GB2312"/>
                <w:sz w:val="24"/>
                <w:szCs w:val="24"/>
              </w:rPr>
              <w:t>条文</w:t>
            </w:r>
          </w:p>
        </w:tc>
        <w:tc>
          <w:tcPr>
            <w:tcW w:w="6516" w:type="dxa"/>
          </w:tcPr>
          <w:p>
            <w:pPr>
              <w:widowControl/>
              <w:adjustRightInd w:val="0"/>
              <w:spacing w:line="400" w:lineRule="exact"/>
              <w:jc w:val="center"/>
              <w:rPr>
                <w:rFonts w:ascii="仿宋_GB2312" w:hAnsi="仿宋_GB2312" w:eastAsia="仿宋_GB2312"/>
                <w:sz w:val="24"/>
                <w:szCs w:val="24"/>
              </w:rPr>
            </w:pPr>
            <w:r>
              <w:rPr>
                <w:rFonts w:hint="eastAsia" w:ascii="仿宋_GB2312" w:hAnsi="仿宋_GB2312" w:eastAsia="仿宋_GB2312"/>
                <w:sz w:val="24"/>
                <w:szCs w:val="24"/>
              </w:rPr>
              <w:t>注释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6" w:type="dxa"/>
          </w:tcPr>
          <w:p>
            <w:pPr>
              <w:widowControl/>
              <w:adjustRightInd w:val="0"/>
              <w:spacing w:line="40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为加大</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整治力度，进一步改善我市环境空气质量，保障广大人民身体健康，依据《中华人民共和国大气污染防治法》《中华人民共和国道路交通安全法》《广东省大气污染防治条例》《广东省机动车排气污染防治条例》《广东省道路交通安全条例》《关于全省决战决胜污染防治攻坚战的命令》（广东省污染防治攻坚战指挥部令2020年第1号）等法律法规和有关规定，结合我市实际，市人民政府决定划定禁止</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上路行驶区域。现将有关事项通告如下：</w:t>
            </w:r>
          </w:p>
        </w:tc>
        <w:tc>
          <w:tcPr>
            <w:tcW w:w="6516" w:type="dxa"/>
          </w:tcPr>
          <w:p>
            <w:pPr>
              <w:widowControl/>
              <w:adjustRightInd w:val="0"/>
              <w:spacing w:line="40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该部分为我市划定禁止</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上路行驶区域的目的。所依据的法律法规和有关规定包括：《中华人民共和国大气污染防治法》《中华人民共和国道路交通安全法》《广东省大气污染防治条例》《广东省机动车排气污染防治条例》《广东省道路交通安全条例》《关于全省决战决胜污染防治攻坚战的命令》（广东省污染防治攻坚战指挥部令2020年第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6" w:type="dxa"/>
          </w:tcPr>
          <w:p>
            <w:pPr>
              <w:widowControl/>
              <w:adjustRightInd w:val="0"/>
              <w:spacing w:line="400" w:lineRule="exact"/>
              <w:jc w:val="left"/>
              <w:rPr>
                <w:rFonts w:ascii="仿宋_GB2312" w:hAnsi="仿宋_GB2312" w:eastAsia="仿宋_GB2312"/>
                <w:sz w:val="24"/>
                <w:szCs w:val="24"/>
              </w:rPr>
            </w:pPr>
            <w:r>
              <w:rPr>
                <w:rFonts w:hint="eastAsia" w:ascii="仿宋_GB2312" w:hAnsi="仿宋_GB2312" w:eastAsia="仿宋_GB2312"/>
                <w:sz w:val="24"/>
                <w:szCs w:val="24"/>
              </w:rPr>
              <w:t>一、禁行对象</w:t>
            </w:r>
          </w:p>
          <w:p>
            <w:pPr>
              <w:widowControl/>
              <w:adjustRightInd w:val="0"/>
              <w:spacing w:line="40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本通告的禁行对象为</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，指排放有明显可见烟度或烟度值超过林格曼1级的机动车。</w:t>
            </w:r>
          </w:p>
          <w:p>
            <w:pPr>
              <w:widowControl/>
              <w:adjustRightInd w:val="0"/>
              <w:spacing w:line="400" w:lineRule="exact"/>
              <w:ind w:firstLine="480" w:firstLineChars="200"/>
              <w:jc w:val="left"/>
              <w:rPr>
                <w:rFonts w:ascii="仿宋_GB2312" w:hAnsi="仿宋_GB2312" w:eastAsia="仿宋_GB2312"/>
                <w:sz w:val="24"/>
                <w:szCs w:val="24"/>
              </w:rPr>
            </w:pPr>
          </w:p>
        </w:tc>
        <w:tc>
          <w:tcPr>
            <w:tcW w:w="6516" w:type="dxa"/>
          </w:tcPr>
          <w:p>
            <w:pPr>
              <w:widowControl/>
              <w:adjustRightInd w:val="0"/>
              <w:spacing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该部分明确了本通告禁行对象为</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根据检测方法进行定义。“林格曼黑度”是参照《柴油车污染物排放限值及测量方法（自由加速法及加载减速法）》（GB3847-2018）进行判断。</w:t>
            </w:r>
            <w:bookmarkStart w:id="3" w:name="_GoBack"/>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6" w:type="dxa"/>
          </w:tcPr>
          <w:p>
            <w:pPr>
              <w:widowControl/>
              <w:adjustRightInd w:val="0"/>
              <w:spacing w:line="400" w:lineRule="exact"/>
              <w:jc w:val="left"/>
              <w:rPr>
                <w:rFonts w:ascii="仿宋_GB2312" w:hAnsi="仿宋_GB2312" w:eastAsia="仿宋_GB2312"/>
                <w:sz w:val="24"/>
                <w:szCs w:val="24"/>
              </w:rPr>
            </w:pPr>
            <w:r>
              <w:rPr>
                <w:rFonts w:hint="eastAsia" w:ascii="仿宋_GB2312" w:hAnsi="仿宋_GB2312" w:eastAsia="仿宋_GB2312"/>
                <w:sz w:val="24"/>
                <w:szCs w:val="24"/>
              </w:rPr>
              <w:t>二、禁行时间和区域</w:t>
            </w:r>
          </w:p>
          <w:p>
            <w:pPr>
              <w:widowControl/>
              <w:adjustRightInd w:val="0"/>
              <w:spacing w:line="40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自2021年9月1日起，全天24小时禁止</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在中山市行政区域范围内道路行驶。</w:t>
            </w:r>
          </w:p>
        </w:tc>
        <w:tc>
          <w:tcPr>
            <w:tcW w:w="6516" w:type="dxa"/>
          </w:tcPr>
          <w:p>
            <w:pPr>
              <w:widowControl/>
              <w:adjustRightInd w:val="0"/>
              <w:spacing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该部分明确了</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限行时间和区域。</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禁止上路行驶区域的划定，参考了珠三角其他城市的做法，将</w:t>
            </w:r>
            <w:r>
              <w:rPr>
                <w:rFonts w:hint="eastAsia" w:ascii="仿宋_GB2312" w:hAnsi="仿宋_GB2312" w:eastAsia="仿宋_GB2312"/>
                <w:sz w:val="24"/>
                <w:szCs w:val="24"/>
                <w:lang w:val="en-US" w:eastAsia="zh-CN"/>
              </w:rPr>
              <w:t>中山市</w:t>
            </w:r>
            <w:r>
              <w:rPr>
                <w:rFonts w:hint="eastAsia" w:ascii="仿宋_GB2312" w:hAnsi="仿宋_GB2312" w:eastAsia="仿宋_GB2312"/>
                <w:sz w:val="24"/>
                <w:szCs w:val="24"/>
              </w:rPr>
              <w:t>行政区域范围内的道路均划为</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禁行区，即对造成空气环境造成严重污染、尾气排放不合格的机动车（</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属于其中一类）依法从严监管，禁止上路行驶。</w:t>
            </w:r>
            <w:r>
              <w:rPr>
                <w:rFonts w:ascii="仿宋_GB2312" w:hAnsi="仿宋_GB2312" w:eastAsia="仿宋_GB2312"/>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6" w:type="dxa"/>
          </w:tcPr>
          <w:p>
            <w:pPr>
              <w:widowControl/>
              <w:adjustRightInd w:val="0"/>
              <w:spacing w:line="400" w:lineRule="exact"/>
              <w:jc w:val="left"/>
              <w:rPr>
                <w:rFonts w:ascii="仿宋_GB2312" w:hAnsi="仿宋_GB2312" w:eastAsia="仿宋_GB2312"/>
                <w:sz w:val="24"/>
                <w:szCs w:val="24"/>
              </w:rPr>
            </w:pPr>
            <w:bookmarkStart w:id="2" w:name="_Hlk74126987"/>
            <w:r>
              <w:rPr>
                <w:rFonts w:hint="eastAsia" w:ascii="仿宋_GB2312" w:hAnsi="仿宋_GB2312" w:eastAsia="仿宋_GB2312"/>
                <w:sz w:val="24"/>
                <w:szCs w:val="24"/>
              </w:rPr>
              <w:t>三、处罚措施</w:t>
            </w:r>
          </w:p>
          <w:p>
            <w:pPr>
              <w:widowControl/>
              <w:adjustRightInd w:val="0"/>
              <w:spacing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进入本通告划定禁行区域的，由生态环境部门会同公安机关交通管理部门采取路检路查或遥感监测等方式进行取证，并由公安机关交通管理部门依据《中华人民共和国道路交通安全法》《广东省道路交通安全条例》及《机动车驾驶证申领和使用规定》（公安部第139号令）规定，对机动车驾驶人处200元罚款并记3分。</w:t>
            </w:r>
          </w:p>
          <w:p>
            <w:pPr>
              <w:widowControl/>
              <w:adjustRightInd w:val="0"/>
              <w:spacing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本通告施行后的第一个月为过渡期，对过渡期内违反本通告规定的机动车驾驶人，进行警示和教育为主；过渡期满后对违规行为依法进行处罚。</w:t>
            </w:r>
          </w:p>
        </w:tc>
        <w:tc>
          <w:tcPr>
            <w:tcW w:w="6516" w:type="dxa"/>
          </w:tcPr>
          <w:p>
            <w:pPr>
              <w:widowControl/>
              <w:adjustRightInd w:val="0"/>
              <w:spacing w:line="40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该部分明确了：</w:t>
            </w:r>
          </w:p>
          <w:p>
            <w:pPr>
              <w:widowControl/>
              <w:adjustRightInd w:val="0"/>
              <w:spacing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1）取证方式：采取“环保取证，公安处罚”的模式，采用路检路查、遥感监测等执法取证方式。路检路查由市生态环境局与市公安局交警支队联合执法设置路面检查点，依据《柴油车污染物排放限值及测量方法（自由加速法及加载减速法）》（GB3847-2018）《汽油车污染物排放限值及测量方法（双怠速法及简易工况法）》（GB18285-2018）对道路行驶机动车进行抽检。对排放有明显可见烟度或林格曼黑度超过1级的，或光吸收系数超过限值1.1倍，即1.32为超标。遥感监测，由市生态环境局与市公安局交警支队，依据《柴油车污染物排放限值及测量方法（自由加速法及加载减速法）》（GB 3847-2018）《在用柴油车排气污染物排放测量方法及技术要求（遥感检测法）》（HJ 845-2017），通过机动车排气污染遥感监测设备进行遥感检测。连续两次及以上同种污染物</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NO除外</w:t>
            </w:r>
            <w:r>
              <w:rPr>
                <w:rFonts w:hint="eastAsia" w:ascii="仿宋_GB2312" w:hAnsi="仿宋_GB2312" w:eastAsia="仿宋_GB2312"/>
                <w:sz w:val="24"/>
                <w:szCs w:val="24"/>
                <w:lang w:eastAsia="zh-CN"/>
              </w:rPr>
              <w:t>）</w:t>
            </w:r>
            <w:r>
              <w:rPr>
                <w:rFonts w:hint="eastAsia" w:ascii="仿宋_GB2312" w:hAnsi="仿宋_GB2312" w:eastAsia="仿宋_GB2312"/>
                <w:sz w:val="24"/>
                <w:szCs w:val="24"/>
              </w:rPr>
              <w:t>监测结果超过表1规定排放限值，且测量时间间隔在6个自然月内，则判定受检车辆排放不合格。</w:t>
            </w:r>
          </w:p>
          <w:p>
            <w:pPr>
              <w:widowControl/>
              <w:adjustRightInd w:val="0"/>
              <w:spacing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（2）处罚依据：对违法行为进行处罚所依据的条文。处罚依据为《中华人民共和国道路交通安全法》第九十条规定 “机动车驾驶人违反道路交通安全法律、法规关于道路通行规定的，处警告或者二十元以上二百元以下罚款”；第六十六条“对机动车驾驶人的道路交通安全违法行为，处罚与记分同时执行”。《广东省道路交通安全条例》第五十九条“驾驶机动车有下列行为之一的，责令改正，处警告或者二百元罚款：（十三）违反禁令标志、禁止标线指示的”。《机动车驾驶证申领和使用规定 附件4》中，“三、机动车驾驶人有下列违法行为之一，一次记3分：（八）‘驾驶机动车违反禁令标志、禁止标线指示的’”。</w:t>
            </w:r>
          </w:p>
          <w:p>
            <w:pPr>
              <w:widowControl/>
              <w:adjustRightInd w:val="0"/>
              <w:spacing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（3）通告施行后的过渡期时间及过渡期的处理方式。</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7" w:hRule="atLeast"/>
        </w:trPr>
        <w:tc>
          <w:tcPr>
            <w:tcW w:w="7626" w:type="dxa"/>
          </w:tcPr>
          <w:p>
            <w:pPr>
              <w:widowControl/>
              <w:adjustRightInd w:val="0"/>
              <w:spacing w:line="400" w:lineRule="exact"/>
              <w:jc w:val="left"/>
              <w:rPr>
                <w:rFonts w:ascii="仿宋_GB2312" w:hAnsi="仿宋_GB2312" w:eastAsia="仿宋_GB2312"/>
                <w:sz w:val="24"/>
                <w:szCs w:val="24"/>
              </w:rPr>
            </w:pPr>
            <w:r>
              <w:rPr>
                <w:rFonts w:hint="eastAsia" w:ascii="仿宋_GB2312" w:hAnsi="仿宋_GB2312" w:eastAsia="仿宋_GB2312"/>
                <w:sz w:val="24"/>
                <w:szCs w:val="24"/>
              </w:rPr>
              <w:t>四、禁行标志牌</w:t>
            </w:r>
          </w:p>
          <w:p>
            <w:pPr>
              <w:widowControl/>
              <w:adjustRightInd w:val="0"/>
              <w:spacing w:line="40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禁行标志牌主标为国家规定的“禁止机动车通行”禁令标志，下面辅以“</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”等文字（式样见下图）。</w:t>
            </w:r>
          </w:p>
          <w:p>
            <w:pPr>
              <w:widowControl/>
              <w:adjustRightInd w:val="0"/>
              <w:ind w:firstLine="480" w:firstLineChars="200"/>
              <w:jc w:val="left"/>
              <w:rPr>
                <w:rFonts w:ascii="仿宋_GB2312" w:hAnsi="仿宋_GB2312" w:eastAsia="仿宋_GB2312"/>
                <w:sz w:val="24"/>
                <w:szCs w:val="24"/>
              </w:rPr>
            </w:pPr>
            <w:r>
              <w:rPr>
                <w:rFonts w:ascii="仿宋_GB2312" w:hAnsi="仿宋_GB2312" w:eastAsia="仿宋_GB2312"/>
                <w:sz w:val="24"/>
                <w:szCs w:val="24"/>
              </w:rPr>
              <w:drawing>
                <wp:inline distT="0" distB="0" distL="0" distR="0">
                  <wp:extent cx="1621790" cy="1711960"/>
                  <wp:effectExtent l="0" t="0" r="1651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21790" cy="1711960"/>
                          </a:xfrm>
                          <a:prstGeom prst="rect">
                            <a:avLst/>
                          </a:prstGeom>
                          <a:noFill/>
                        </pic:spPr>
                      </pic:pic>
                    </a:graphicData>
                  </a:graphic>
                </wp:inline>
              </w:drawing>
            </w:r>
          </w:p>
        </w:tc>
        <w:tc>
          <w:tcPr>
            <w:tcW w:w="6516" w:type="dxa"/>
          </w:tcPr>
          <w:p>
            <w:pPr>
              <w:widowControl/>
              <w:adjustRightInd w:val="0"/>
              <w:spacing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该部分展示了</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禁行标志牌的具体样式，标志牌样式参考《公路交通标志和标线设置规范》(JTGD82-2009)相关要求。禁令标志下方文字“</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”表明道路禁行的对象为</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。开展执法前，在进入限行区域交界的主要道路上设置相关限行标志进行警示。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6" w:type="dxa"/>
          </w:tcPr>
          <w:p>
            <w:pPr>
              <w:widowControl/>
              <w:adjustRightInd w:val="0"/>
              <w:spacing w:line="40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五、期限</w:t>
            </w:r>
          </w:p>
          <w:p>
            <w:pPr>
              <w:widowControl/>
              <w:adjustRightInd w:val="0"/>
              <w:spacing w:line="40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本通告自2021年9月1日起施行，有效期5年。</w:t>
            </w:r>
          </w:p>
        </w:tc>
        <w:tc>
          <w:tcPr>
            <w:tcW w:w="6516" w:type="dxa"/>
          </w:tcPr>
          <w:p>
            <w:pPr>
              <w:widowControl/>
              <w:adjustRightInd w:val="0"/>
              <w:spacing w:line="400" w:lineRule="exact"/>
              <w:ind w:firstLine="480" w:firstLineChars="200"/>
              <w:rPr>
                <w:rFonts w:ascii="仿宋_GB2312" w:hAnsi="仿宋_GB2312" w:eastAsia="仿宋_GB2312"/>
                <w:sz w:val="24"/>
                <w:szCs w:val="24"/>
              </w:rPr>
            </w:pPr>
            <w:r>
              <w:rPr>
                <w:rFonts w:hint="eastAsia" w:ascii="仿宋_GB2312" w:hAnsi="仿宋_GB2312" w:eastAsia="仿宋_GB2312"/>
                <w:sz w:val="24"/>
                <w:szCs w:val="24"/>
              </w:rPr>
              <w:t>该部分明确了通告开始施行的时间及有效期。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6" w:type="dxa"/>
          </w:tcPr>
          <w:p>
            <w:pPr>
              <w:widowControl/>
              <w:adjustRightInd w:val="0"/>
              <w:spacing w:line="400" w:lineRule="exact"/>
              <w:ind w:firstLine="480" w:firstLineChars="200"/>
              <w:jc w:val="left"/>
              <w:rPr>
                <w:rFonts w:ascii="仿宋_GB2312" w:hAnsi="仿宋_GB2312" w:eastAsia="仿宋_GB2312"/>
                <w:sz w:val="24"/>
                <w:szCs w:val="24"/>
              </w:rPr>
            </w:pPr>
            <w:r>
              <w:rPr>
                <w:rFonts w:hint="eastAsia" w:ascii="仿宋_GB2312" w:hAnsi="仿宋_GB2312" w:eastAsia="仿宋_GB2312"/>
                <w:sz w:val="24"/>
                <w:szCs w:val="24"/>
              </w:rPr>
              <w:t>附件：《中山市划定禁止</w:t>
            </w:r>
            <w:r>
              <w:rPr>
                <w:rFonts w:hint="eastAsia" w:ascii="仿宋_GB2312" w:hAnsi="仿宋_GB2312" w:eastAsia="仿宋_GB2312"/>
                <w:sz w:val="24"/>
                <w:szCs w:val="24"/>
                <w:lang w:eastAsia="zh-CN"/>
              </w:rPr>
              <w:t>“黑烟车”</w:t>
            </w:r>
            <w:r>
              <w:rPr>
                <w:rFonts w:hint="eastAsia" w:ascii="仿宋_GB2312" w:hAnsi="仿宋_GB2312" w:eastAsia="仿宋_GB2312"/>
                <w:sz w:val="24"/>
                <w:szCs w:val="24"/>
              </w:rPr>
              <w:t>上路行驶区域的通告》政策解读</w:t>
            </w:r>
          </w:p>
        </w:tc>
        <w:tc>
          <w:tcPr>
            <w:tcW w:w="6516" w:type="dxa"/>
          </w:tcPr>
          <w:p>
            <w:pPr>
              <w:widowControl/>
              <w:adjustRightInd w:val="0"/>
              <w:spacing w:line="400" w:lineRule="exact"/>
              <w:jc w:val="left"/>
              <w:rPr>
                <w:rFonts w:ascii="仿宋_GB2312" w:hAnsi="仿宋_GB2312" w:eastAsia="仿宋_GB2312"/>
                <w:sz w:val="24"/>
                <w:szCs w:val="24"/>
              </w:rPr>
            </w:pPr>
            <w:r>
              <w:rPr>
                <w:rFonts w:hint="eastAsia" w:ascii="仿宋_GB2312" w:hAnsi="仿宋_GB2312" w:eastAsia="仿宋_GB2312"/>
                <w:sz w:val="24"/>
                <w:szCs w:val="24"/>
              </w:rPr>
              <w:t>通告附件，对通告内容进行详细解读的文件。</w:t>
            </w:r>
          </w:p>
        </w:tc>
      </w:tr>
    </w:tbl>
    <w:p>
      <w:pPr>
        <w:spacing w:line="360" w:lineRule="auto"/>
        <w:rPr>
          <w:rFonts w:ascii="创艺简标宋" w:hAnsi="创艺简标宋" w:eastAsia="创艺简标宋" w:cs="创艺简标宋"/>
          <w:spacing w:val="-12"/>
          <w:sz w:val="21"/>
          <w:szCs w:val="21"/>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2540" t="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09"/>
    <w:rsid w:val="0009166F"/>
    <w:rsid w:val="000E3B5B"/>
    <w:rsid w:val="001410C8"/>
    <w:rsid w:val="001A3FB8"/>
    <w:rsid w:val="001A7D20"/>
    <w:rsid w:val="001C4CFC"/>
    <w:rsid w:val="00274102"/>
    <w:rsid w:val="002876CA"/>
    <w:rsid w:val="002A73D5"/>
    <w:rsid w:val="002F7E32"/>
    <w:rsid w:val="00314B04"/>
    <w:rsid w:val="00385745"/>
    <w:rsid w:val="0039608F"/>
    <w:rsid w:val="003F1290"/>
    <w:rsid w:val="00417DAF"/>
    <w:rsid w:val="004325E6"/>
    <w:rsid w:val="00440DF5"/>
    <w:rsid w:val="00473D13"/>
    <w:rsid w:val="00474810"/>
    <w:rsid w:val="004B36CC"/>
    <w:rsid w:val="004D30BB"/>
    <w:rsid w:val="004F6EBF"/>
    <w:rsid w:val="00521F7F"/>
    <w:rsid w:val="005226B5"/>
    <w:rsid w:val="00545209"/>
    <w:rsid w:val="0057774D"/>
    <w:rsid w:val="0059780A"/>
    <w:rsid w:val="005B39BE"/>
    <w:rsid w:val="00613649"/>
    <w:rsid w:val="00640683"/>
    <w:rsid w:val="006670B3"/>
    <w:rsid w:val="006D6B6C"/>
    <w:rsid w:val="006E1FFE"/>
    <w:rsid w:val="0073474B"/>
    <w:rsid w:val="007563A7"/>
    <w:rsid w:val="0077375C"/>
    <w:rsid w:val="007845D5"/>
    <w:rsid w:val="007C5723"/>
    <w:rsid w:val="007D33B3"/>
    <w:rsid w:val="008821BE"/>
    <w:rsid w:val="00934F44"/>
    <w:rsid w:val="009A43B8"/>
    <w:rsid w:val="009F152F"/>
    <w:rsid w:val="00A066AF"/>
    <w:rsid w:val="00A800DA"/>
    <w:rsid w:val="00A87183"/>
    <w:rsid w:val="00AC0723"/>
    <w:rsid w:val="00AF6E43"/>
    <w:rsid w:val="00B16B12"/>
    <w:rsid w:val="00B21916"/>
    <w:rsid w:val="00B5357D"/>
    <w:rsid w:val="00BA3AB6"/>
    <w:rsid w:val="00BB768D"/>
    <w:rsid w:val="00BC16BD"/>
    <w:rsid w:val="00BC2996"/>
    <w:rsid w:val="00BE2CF6"/>
    <w:rsid w:val="00C31208"/>
    <w:rsid w:val="00C56437"/>
    <w:rsid w:val="00C85496"/>
    <w:rsid w:val="00CE19B5"/>
    <w:rsid w:val="00CE4878"/>
    <w:rsid w:val="00CF63BE"/>
    <w:rsid w:val="00D20C90"/>
    <w:rsid w:val="00D44F05"/>
    <w:rsid w:val="00D45D5F"/>
    <w:rsid w:val="00D96DEB"/>
    <w:rsid w:val="00D978B6"/>
    <w:rsid w:val="00DB79C7"/>
    <w:rsid w:val="00E94956"/>
    <w:rsid w:val="00F41E5E"/>
    <w:rsid w:val="00F50467"/>
    <w:rsid w:val="00FE5134"/>
    <w:rsid w:val="00FF3BBC"/>
    <w:rsid w:val="02E562DC"/>
    <w:rsid w:val="04EA4194"/>
    <w:rsid w:val="05741597"/>
    <w:rsid w:val="071F770B"/>
    <w:rsid w:val="07401924"/>
    <w:rsid w:val="07583CCF"/>
    <w:rsid w:val="084A0B14"/>
    <w:rsid w:val="0A291F3F"/>
    <w:rsid w:val="0AA22E9D"/>
    <w:rsid w:val="0B5A3BDA"/>
    <w:rsid w:val="0BDC2604"/>
    <w:rsid w:val="0D820A0A"/>
    <w:rsid w:val="1028431E"/>
    <w:rsid w:val="10C81326"/>
    <w:rsid w:val="132D7BC1"/>
    <w:rsid w:val="14802B8D"/>
    <w:rsid w:val="15CF1705"/>
    <w:rsid w:val="17686492"/>
    <w:rsid w:val="19CF5D7E"/>
    <w:rsid w:val="1C3F728E"/>
    <w:rsid w:val="1D3C1FEF"/>
    <w:rsid w:val="1D883A06"/>
    <w:rsid w:val="211D2F0B"/>
    <w:rsid w:val="218D4686"/>
    <w:rsid w:val="22753BDF"/>
    <w:rsid w:val="24A64784"/>
    <w:rsid w:val="25184814"/>
    <w:rsid w:val="271426A9"/>
    <w:rsid w:val="27394AC0"/>
    <w:rsid w:val="274935E0"/>
    <w:rsid w:val="28F05DD5"/>
    <w:rsid w:val="292D4A05"/>
    <w:rsid w:val="2B1C0D22"/>
    <w:rsid w:val="2D235AA0"/>
    <w:rsid w:val="2E957730"/>
    <w:rsid w:val="2F8B66BF"/>
    <w:rsid w:val="2FEC7892"/>
    <w:rsid w:val="304925A9"/>
    <w:rsid w:val="333B0A02"/>
    <w:rsid w:val="337A502F"/>
    <w:rsid w:val="34AD3998"/>
    <w:rsid w:val="390E6F22"/>
    <w:rsid w:val="394C70A0"/>
    <w:rsid w:val="3A5277C9"/>
    <w:rsid w:val="3AD42BA2"/>
    <w:rsid w:val="3C93761A"/>
    <w:rsid w:val="3FC112FA"/>
    <w:rsid w:val="416E7AA8"/>
    <w:rsid w:val="47280060"/>
    <w:rsid w:val="49B609C5"/>
    <w:rsid w:val="4A0D422C"/>
    <w:rsid w:val="4B833E8B"/>
    <w:rsid w:val="4BD66160"/>
    <w:rsid w:val="4E604261"/>
    <w:rsid w:val="4F9B66E2"/>
    <w:rsid w:val="511D56FF"/>
    <w:rsid w:val="517A1076"/>
    <w:rsid w:val="54D70A28"/>
    <w:rsid w:val="55641D80"/>
    <w:rsid w:val="561077E4"/>
    <w:rsid w:val="562A22D9"/>
    <w:rsid w:val="562D7D55"/>
    <w:rsid w:val="579F11A9"/>
    <w:rsid w:val="595D3BB1"/>
    <w:rsid w:val="596757EF"/>
    <w:rsid w:val="5D8E0575"/>
    <w:rsid w:val="63E41CAC"/>
    <w:rsid w:val="643134AA"/>
    <w:rsid w:val="653731D5"/>
    <w:rsid w:val="660A7227"/>
    <w:rsid w:val="66375970"/>
    <w:rsid w:val="668B22D0"/>
    <w:rsid w:val="66E60A82"/>
    <w:rsid w:val="67B414E6"/>
    <w:rsid w:val="69B9653C"/>
    <w:rsid w:val="6CB16B29"/>
    <w:rsid w:val="6F401646"/>
    <w:rsid w:val="71C54FDF"/>
    <w:rsid w:val="72455512"/>
    <w:rsid w:val="731F4C1C"/>
    <w:rsid w:val="7894446B"/>
    <w:rsid w:val="7CB013B9"/>
    <w:rsid w:val="7D4659ED"/>
    <w:rsid w:val="7E4940B2"/>
    <w:rsid w:val="7FC2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spacing w:before="156" w:beforeLines="50" w:after="156" w:afterLines="50"/>
      <w:outlineLvl w:val="0"/>
    </w:pPr>
    <w:rPr>
      <w:rFonts w:ascii="黑体" w:hAnsi="黑体" w:eastAsia="黑体"/>
      <w:sz w:val="30"/>
      <w:szCs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unhideWhenUsed/>
    <w:qFormat/>
    <w:uiPriority w:val="99"/>
    <w:rPr>
      <w:rFonts w:ascii="宋体"/>
      <w:sz w:val="18"/>
      <w:szCs w:val="18"/>
    </w:rPr>
  </w:style>
  <w:style w:type="paragraph" w:styleId="4">
    <w:name w:val="Body Text Indent 2"/>
    <w:basedOn w:val="1"/>
    <w:link w:val="14"/>
    <w:qFormat/>
    <w:uiPriority w:val="0"/>
    <w:pPr>
      <w:spacing w:after="120" w:line="480" w:lineRule="auto"/>
      <w:ind w:left="420" w:leftChars="200"/>
    </w:pPr>
    <w:rPr>
      <w:rFonts w:ascii="等线" w:hAnsi="等线" w:eastAsia="等线"/>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字符"/>
    <w:basedOn w:val="9"/>
    <w:link w:val="6"/>
    <w:semiHidden/>
    <w:qFormat/>
    <w:uiPriority w:val="99"/>
    <w:rPr>
      <w:kern w:val="2"/>
      <w:sz w:val="18"/>
      <w:szCs w:val="18"/>
    </w:rPr>
  </w:style>
  <w:style w:type="character" w:customStyle="1" w:styleId="11">
    <w:name w:val="文档结构图 字符"/>
    <w:basedOn w:val="9"/>
    <w:link w:val="3"/>
    <w:semiHidden/>
    <w:qFormat/>
    <w:uiPriority w:val="99"/>
    <w:rPr>
      <w:rFonts w:ascii="宋体"/>
      <w:kern w:val="2"/>
      <w:sz w:val="18"/>
      <w:szCs w:val="18"/>
    </w:rPr>
  </w:style>
  <w:style w:type="character" w:customStyle="1" w:styleId="12">
    <w:name w:val="页脚 字符"/>
    <w:basedOn w:val="9"/>
    <w:link w:val="5"/>
    <w:semiHidden/>
    <w:qFormat/>
    <w:uiPriority w:val="99"/>
    <w:rPr>
      <w:kern w:val="2"/>
      <w:sz w:val="18"/>
      <w:szCs w:val="18"/>
    </w:rPr>
  </w:style>
  <w:style w:type="character" w:customStyle="1" w:styleId="13">
    <w:name w:val="标题 1 字符"/>
    <w:basedOn w:val="9"/>
    <w:link w:val="2"/>
    <w:qFormat/>
    <w:uiPriority w:val="9"/>
    <w:rPr>
      <w:rFonts w:ascii="黑体" w:hAnsi="黑体" w:eastAsia="黑体"/>
      <w:kern w:val="2"/>
      <w:sz w:val="30"/>
      <w:szCs w:val="30"/>
    </w:rPr>
  </w:style>
  <w:style w:type="character" w:customStyle="1" w:styleId="14">
    <w:name w:val="正文文本缩进 2 字符"/>
    <w:basedOn w:val="9"/>
    <w:link w:val="4"/>
    <w:qFormat/>
    <w:uiPriority w:val="0"/>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393</Words>
  <Characters>2241</Characters>
  <Lines>18</Lines>
  <Paragraphs>5</Paragraphs>
  <TotalTime>61</TotalTime>
  <ScaleCrop>false</ScaleCrop>
  <LinksUpToDate>false</LinksUpToDate>
  <CharactersWithSpaces>2629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2021-04-08T09:47:00Z</dcterms:created>
  <dc:creator>A</dc:creator>
  <cp:lastModifiedBy>Ting</cp:lastModifiedBy>
  <cp:lastPrinted>2021-04-26T11:06:00Z</cp:lastPrinted>
  <dcterms:modified xsi:type="dcterms:W3CDTF">2021-07-02T02:13:26Z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C205E7D3D0554433B130DB95C2CB2EA4</vt:lpwstr>
  </property>
</Properties>
</file>