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群众信访举报转办和边督边改公开情况一览表（第二</w:t>
      </w:r>
      <w:r>
        <w:rPr>
          <w:rFonts w:hint="eastAsia"/>
          <w:b/>
          <w:bCs/>
          <w:sz w:val="36"/>
          <w:szCs w:val="36"/>
          <w:lang w:val="en-US" w:eastAsia="zh-CN"/>
        </w:rPr>
        <w:t>十六</w:t>
      </w:r>
      <w:r>
        <w:rPr>
          <w:rFonts w:hint="eastAsia"/>
          <w:b/>
          <w:bCs/>
          <w:sz w:val="36"/>
          <w:szCs w:val="36"/>
        </w:rPr>
        <w:t>批2021年9月2</w:t>
      </w:r>
      <w:r>
        <w:rPr>
          <w:rFonts w:hint="eastAsia"/>
          <w:b/>
          <w:bCs/>
          <w:sz w:val="36"/>
          <w:szCs w:val="36"/>
          <w:lang w:val="en-US" w:eastAsia="zh-CN"/>
        </w:rPr>
        <w:t>7</w:t>
      </w:r>
      <w:r>
        <w:rPr>
          <w:rFonts w:hint="eastAsia"/>
          <w:b/>
          <w:bCs/>
          <w:sz w:val="36"/>
          <w:szCs w:val="36"/>
        </w:rPr>
        <w:t>日）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185"/>
        <w:gridCol w:w="1990"/>
        <w:gridCol w:w="640"/>
        <w:gridCol w:w="783"/>
        <w:gridCol w:w="2617"/>
        <w:gridCol w:w="670"/>
        <w:gridCol w:w="3710"/>
        <w:gridCol w:w="64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受理编号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交办问题基本情况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行政区域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污染类型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调查核实情况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是否属实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处理和整改情况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是否办结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责任人被处理情况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D2GD202109210059</w:t>
            </w:r>
          </w:p>
        </w:tc>
        <w:tc>
          <w:tcPr>
            <w:tcW w:w="199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反映锦绣阳光小区下面乐怡路的商铺占道经营，售卖鱼和活禽，车辆占道，导致污水垃圾乱排乱丢，存在售卖噪音问题，环境很差，从早上6点开始持续到夜间8点。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中山市</w:t>
            </w:r>
            <w:r>
              <w:rPr>
                <w:rFonts w:hint="eastAsia"/>
              </w:rPr>
              <w:t>坦洲镇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噪音,水</w:t>
            </w:r>
          </w:p>
        </w:tc>
        <w:tc>
          <w:tcPr>
            <w:tcW w:w="26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/>
                <w:szCs w:val="32"/>
              </w:rPr>
            </w:pPr>
            <w:r>
              <w:rPr>
                <w:rFonts w:hint="eastAsia" w:ascii="仿宋" w:hAnsi="仿宋"/>
                <w:szCs w:val="32"/>
              </w:rPr>
              <w:t>举报人反映的商铺位于中山市坦洲镇乐怡路2号锦绣阳光花园小区5-8期一层商铺，该路段主要有生鲜蔬菜、肉档、早餐店铺等。检查现场发现，部分生鲜蔬菜店、肉档占道经营；因收集不规范</w:t>
            </w:r>
            <w:bookmarkStart w:id="0" w:name="_GoBack"/>
            <w:bookmarkEnd w:id="0"/>
            <w:r>
              <w:rPr>
                <w:rFonts w:hint="eastAsia" w:ascii="仿宋" w:hAnsi="仿宋"/>
                <w:szCs w:val="32"/>
              </w:rPr>
              <w:t>，部分生鲜、蔬菜清洗用水溢流到地面上；部分店铺使用喇叭等扩音设备进行叫卖；该路段共设有22个垃圾收集点，但部分生活垃圾乱扔在路边；人行道上有部分车辆违停占道。上述占道经营、售卖噪声、污水垃圾未妥善收集处置、车辆违停占道等问题会对附近居民产生影响。</w:t>
            </w:r>
          </w:p>
        </w:tc>
        <w:tc>
          <w:tcPr>
            <w:tcW w:w="67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基本属实</w:t>
            </w:r>
          </w:p>
        </w:tc>
        <w:tc>
          <w:tcPr>
            <w:tcW w:w="37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立行立改：9月23日-24日，坦洲镇对坦洲镇锦绣阳光花园小区5-8期一层商铺占道经营等问题进行</w:t>
            </w: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。针对商铺占道经营问题，坦洲镇综合行政执法局要求店铺负责人</w:t>
            </w:r>
            <w:r>
              <w:rPr>
                <w:rFonts w:hint="eastAsia"/>
                <w:lang w:eastAsia="zh-CN"/>
              </w:rPr>
              <w:t>立即</w:t>
            </w:r>
            <w:r>
              <w:rPr>
                <w:rFonts w:hint="eastAsia"/>
              </w:rPr>
              <w:t>将营业工具搬回至营业范围的黄线内，规范经营行为，共处理占道经营24</w:t>
            </w:r>
            <w:r>
              <w:rPr>
                <w:rFonts w:hint="eastAsia"/>
                <w:lang w:eastAsia="zh-CN"/>
              </w:rPr>
              <w:t>起</w:t>
            </w:r>
            <w:r>
              <w:rPr>
                <w:rFonts w:hint="eastAsia"/>
              </w:rPr>
              <w:t>，口头教育28人；针对生活垃圾乱扔及污水横流问题，坦洲镇城管住建和农业农村局已安排环卫工人进行清扫，共出动了28人次，清理垃圾收集点及周边垃圾约2吨，现场已将生活垃圾及污水清理干净；针对售卖噪声扰民问题，坦洲镇生态环境保护局对相关店铺负责人进行环保法规</w:t>
            </w:r>
            <w:r>
              <w:rPr>
                <w:rFonts w:hint="eastAsia"/>
                <w:lang w:eastAsia="zh-CN"/>
              </w:rPr>
              <w:t>宣传</w:t>
            </w:r>
            <w:r>
              <w:rPr>
                <w:rFonts w:hint="eastAsia"/>
              </w:rPr>
              <w:t>教育，在经营时注意控制喇叭播放音量</w:t>
            </w:r>
            <w:r>
              <w:rPr>
                <w:rFonts w:hint="eastAsia"/>
                <w:lang w:eastAsia="zh-CN"/>
              </w:rPr>
              <w:t>及播放时间</w:t>
            </w:r>
            <w:r>
              <w:rPr>
                <w:rFonts w:hint="eastAsia"/>
              </w:rPr>
              <w:t>，不得对周围居民产生影响；针对车辆占道问题，公安分局共查处违法停车32宗。25-27日均开展复查，处理、劝导占道经营等行为，巩固整改成效。</w:t>
            </w:r>
          </w:p>
          <w:p>
            <w:pPr>
              <w:spacing w:line="24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举一反三：加强该区域环境卫生整治力度，做到全面清理、及时保洁；加强违法停车整治力度，维护文明和谐的交通环境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持续开展环境保护法律法规宣传教育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长效机制加强环境整治力度，切实维护和提升良好的镇容镇貌。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阶段性办结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/>
    <w:p>
      <w:pPr>
        <w:jc w:val="right"/>
      </w:pPr>
    </w:p>
    <w:sectPr>
      <w:pgSz w:w="16838" w:h="11906" w:orient="landscape"/>
      <w:pgMar w:top="157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12ADE"/>
    <w:multiLevelType w:val="singleLevel"/>
    <w:tmpl w:val="44812ADE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27717"/>
    <w:rsid w:val="000A7470"/>
    <w:rsid w:val="00FC0D6B"/>
    <w:rsid w:val="05540531"/>
    <w:rsid w:val="08C31E39"/>
    <w:rsid w:val="0E8F59DB"/>
    <w:rsid w:val="13A1560D"/>
    <w:rsid w:val="1F227717"/>
    <w:rsid w:val="2153680F"/>
    <w:rsid w:val="40A06BC0"/>
    <w:rsid w:val="40C810DD"/>
    <w:rsid w:val="438D2826"/>
    <w:rsid w:val="57CA5C35"/>
    <w:rsid w:val="5BD90838"/>
    <w:rsid w:val="5FF22BA9"/>
    <w:rsid w:val="602F19F2"/>
    <w:rsid w:val="65E26F26"/>
    <w:rsid w:val="6A396C8C"/>
    <w:rsid w:val="6B797A25"/>
    <w:rsid w:val="7BE7D92B"/>
    <w:rsid w:val="7FAF96CA"/>
    <w:rsid w:val="7FDD1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sz w:val="22"/>
      <w:szCs w:val="24"/>
      <w:lang w:val="en-US" w:eastAsia="zh-CN" w:bidi="ar-SA"/>
    </w:rPr>
  </w:style>
  <w:style w:type="paragraph" w:customStyle="1" w:styleId="3">
    <w:name w:val="样式35"/>
    <w:basedOn w:val="1"/>
    <w:next w:val="4"/>
    <w:qFormat/>
    <w:uiPriority w:val="0"/>
    <w:pPr>
      <w:spacing w:line="312" w:lineRule="auto"/>
      <w:ind w:firstLine="567"/>
    </w:pPr>
    <w:rPr>
      <w:rFonts w:ascii="宋体"/>
    </w:rPr>
  </w:style>
  <w:style w:type="paragraph" w:customStyle="1" w:styleId="4">
    <w:name w:val="font6"/>
    <w:basedOn w:val="1"/>
    <w:next w:val="5"/>
    <w:qFormat/>
    <w:uiPriority w:val="0"/>
    <w:pPr>
      <w:spacing w:before="280" w:after="280" w:line="240" w:lineRule="auto"/>
    </w:pPr>
    <w:rPr>
      <w:sz w:val="21"/>
    </w:rPr>
  </w:style>
  <w:style w:type="paragraph" w:styleId="5">
    <w:name w:val="toc 2"/>
    <w:basedOn w:val="1"/>
    <w:next w:val="6"/>
    <w:qFormat/>
    <w:uiPriority w:val="0"/>
    <w:pPr>
      <w:ind w:left="200" w:leftChars="200"/>
    </w:pPr>
    <w:rPr>
      <w:rFonts w:ascii="Times New Roman" w:hAnsi="Times New Roman" w:eastAsia="宋体" w:cs="Times New Roman"/>
      <w:sz w:val="24"/>
      <w:szCs w:val="20"/>
    </w:rPr>
  </w:style>
  <w:style w:type="paragraph" w:styleId="6">
    <w:name w:val="E-mail Signature"/>
    <w:basedOn w:val="1"/>
    <w:next w:val="7"/>
    <w:qFormat/>
    <w:uiPriority w:val="0"/>
    <w:pPr>
      <w:spacing w:line="460" w:lineRule="exact"/>
      <w:ind w:firstLine="200"/>
    </w:pPr>
  </w:style>
  <w:style w:type="paragraph" w:customStyle="1" w:styleId="7">
    <w:name w:val="文章"/>
    <w:basedOn w:val="1"/>
    <w:next w:val="8"/>
    <w:qFormat/>
    <w:uiPriority w:val="0"/>
    <w:pPr>
      <w:spacing w:line="240" w:lineRule="auto"/>
      <w:ind w:firstLine="480"/>
      <w:jc w:val="center"/>
    </w:pPr>
    <w:rPr>
      <w:sz w:val="26"/>
    </w:rPr>
  </w:style>
  <w:style w:type="paragraph" w:styleId="8">
    <w:name w:val="List"/>
    <w:basedOn w:val="1"/>
    <w:next w:val="9"/>
    <w:qFormat/>
    <w:uiPriority w:val="0"/>
    <w:pPr>
      <w:ind w:left="200" w:hanging="200" w:hangingChars="200"/>
    </w:pPr>
    <w:rPr>
      <w:sz w:val="21"/>
    </w:rPr>
  </w:style>
  <w:style w:type="paragraph" w:styleId="9">
    <w:name w:val="List Bullet 2"/>
    <w:basedOn w:val="1"/>
    <w:next w:val="10"/>
    <w:qFormat/>
    <w:uiPriority w:val="0"/>
    <w:pPr>
      <w:numPr>
        <w:ilvl w:val="0"/>
        <w:numId w:val="1"/>
      </w:numPr>
    </w:pPr>
  </w:style>
  <w:style w:type="paragraph" w:customStyle="1" w:styleId="10">
    <w:name w:val="xl70"/>
    <w:basedOn w:val="1"/>
    <w:next w:val="11"/>
    <w:qFormat/>
    <w:uiPriority w:val="0"/>
    <w:pPr>
      <w:spacing w:before="280" w:after="280" w:line="240" w:lineRule="auto"/>
    </w:pPr>
    <w:rPr>
      <w:rFonts w:ascii="宋体"/>
    </w:rPr>
  </w:style>
  <w:style w:type="paragraph" w:customStyle="1" w:styleId="11">
    <w:name w:val="正文缩进1"/>
    <w:basedOn w:val="1"/>
    <w:next w:val="12"/>
    <w:qFormat/>
    <w:uiPriority w:val="0"/>
    <w:pPr>
      <w:ind w:firstLine="420"/>
    </w:pPr>
    <w:rPr>
      <w:rFonts w:ascii="宋体"/>
    </w:rPr>
  </w:style>
  <w:style w:type="paragraph" w:customStyle="1" w:styleId="12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545</Words>
  <Characters>572</Characters>
  <Lines>1</Lines>
  <Paragraphs>1</Paragraphs>
  <TotalTime>31</TotalTime>
  <ScaleCrop>false</ScaleCrop>
  <LinksUpToDate>false</LinksUpToDate>
  <CharactersWithSpaces>572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2021-08-25T21:33:00Z</dcterms:created>
  <dc:creator>Administrator</dc:creator>
  <cp:lastModifiedBy>张阳</cp:lastModifiedBy>
  <dcterms:modified xsi:type="dcterms:W3CDTF">2021-09-27T12:40:42Z</dcterms:modified>
  <dc:title>群众信访举报转办和边督边改公开情况一览表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D4518276A2E3404E913B8AEDCB0AB321</vt:lpwstr>
  </property>
</Properties>
</file>