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其他适用于承诺制审批的环评文件类别</w:t>
      </w:r>
      <w:bookmarkEnd w:id="0"/>
    </w:p>
    <w:tbl>
      <w:tblPr>
        <w:tblStyle w:val="7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850"/>
        <w:gridCol w:w="454"/>
        <w:gridCol w:w="2991"/>
        <w:gridCol w:w="938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2" w:lineRule="auto"/>
              <w:ind w:left="141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37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行业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分类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9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1935" w:type="pct"/>
            <w:gridSpan w:val="2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37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9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环评类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  <w:t>实施范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十七、木材加工和木、竹、藤、棕、草制品业 20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9" w:line="183" w:lineRule="auto"/>
              <w:ind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6" w:lineRule="auto"/>
              <w:ind w:right="9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人造板制造202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1"/>
                <w:szCs w:val="21"/>
                <w:highlight w:val="none"/>
              </w:rPr>
              <w:t>报告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23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其他（年产小于20万立方米）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十八、家具制造业 21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木质家具制造 211*；竹、藤家具制造212*；金属家具制造213*；塑料家具制造214*；其他家具制造219*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其他（仅分割、组装的除外；年用非溶剂型低VOCs含量涂料10吨以下的除外）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53" w:beforeLines="0" w:afterLines="0" w:line="186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二十七、非金属矿物制品业 30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玻璃制造 304；玻璃制品制造 305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特种玻璃制造；其他玻璃制造； 玻璃制品制造（电加热的除外； 仅切割、打磨、成型的除外）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81" w:line="184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三十八、其他制造业 41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日用杂品制造 411*；其他未列明制造业 419*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年用溶剂型涂料(含稀释剂)10吨以下的，或年用非溶剂型低VOCs含量涂料10吨及以上的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55" w:line="183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四十三、水的生产和供应业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污水处理及其再生利用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新建、扩建日处理10万吨以下500吨及以上城乡污水处理的； 新建、扩建其他工业废水处理的（不含建设单位自建自用仅处理生活污水的；不含出水间接排入地表水体且不排放重金属的）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138" w:line="183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四十五、研究和试验发展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专业实验室、研发(试验)基地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其他(不产生实验废气、废水、危险废物的除外)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215" w:line="183" w:lineRule="auto"/>
              <w:ind w:left="425" w:leftChars="0" w:hanging="4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五十一、水利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168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河湖整治(不含农村塘堰、水渠)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报告表</w:t>
            </w:r>
          </w:p>
        </w:tc>
        <w:tc>
          <w:tcPr>
            <w:tcW w:w="1132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注明：①建设项目环境影响评价分类管理名录（2021年版）。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83B3"/>
    <w:multiLevelType w:val="singleLevel"/>
    <w:tmpl w:val="013583B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21914"/>
    <w:rsid w:val="47D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ind w:firstLine="608" w:firstLineChars="225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toc 5"/>
    <w:basedOn w:val="1"/>
    <w:next w:val="1"/>
    <w:unhideWhenUsed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2022-12-12T01:10:00Z</dcterms:created>
  <dc:creator>李盈乐</dc:creator>
  <cp:lastModifiedBy>李盈乐</cp:lastModifiedBy>
  <dcterms:modified xsi:type="dcterms:W3CDTF">2022-12-12T01:11:37Z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D2D698ACFE1D4427A02219F2AC85FC13</vt:lpwstr>
  </property>
</Properties>
</file>