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ascii="黑体" w:eastAsia="黑体"/>
          <w:szCs w:val="32"/>
        </w:rPr>
      </w:pPr>
    </w:p>
    <w:p>
      <w:pPr>
        <w:rPr>
          <w:rFonts w:ascii="仿宋_GB2312" w:hAnsi="华文仿宋"/>
          <w:szCs w:val="32"/>
        </w:rPr>
      </w:pPr>
    </w:p>
    <w:p>
      <w:pPr>
        <w:rPr>
          <w:rFonts w:ascii="仿宋_GB2312" w:hAnsi="华文仿宋"/>
          <w:szCs w:val="32"/>
        </w:rPr>
      </w:pPr>
    </w:p>
    <w:p>
      <w:pPr>
        <w:rPr>
          <w:rFonts w:ascii="仿宋_GB2312" w:hAnsi="华文仿宋"/>
          <w:szCs w:val="32"/>
        </w:rPr>
      </w:pPr>
    </w:p>
    <w:p>
      <w:pPr>
        <w:rPr>
          <w:rFonts w:ascii="仿宋_GB2312" w:hAnsi="华文仿宋"/>
          <w:szCs w:val="32"/>
        </w:rPr>
      </w:pPr>
    </w:p>
    <w:p>
      <w:pPr>
        <w:jc w:val="center"/>
        <w:rPr>
          <w:rFonts w:ascii="黑体" w:hAnsi="黑体" w:eastAsia="黑体"/>
          <w:b/>
          <w:bCs/>
          <w:sz w:val="52"/>
          <w:szCs w:val="40"/>
        </w:rPr>
      </w:pPr>
      <w:r>
        <w:rPr>
          <w:rFonts w:hint="eastAsia" w:ascii="黑体" w:hAnsi="黑体" w:eastAsia="黑体"/>
          <w:b/>
          <w:bCs/>
          <w:sz w:val="52"/>
          <w:szCs w:val="40"/>
        </w:rPr>
        <w:t>中山市入海河流未达标水体</w:t>
      </w:r>
    </w:p>
    <w:p>
      <w:pPr>
        <w:jc w:val="center"/>
        <w:rPr>
          <w:rFonts w:ascii="黑体" w:hAnsi="黑体" w:eastAsia="黑体"/>
          <w:b/>
          <w:bCs/>
          <w:sz w:val="52"/>
          <w:szCs w:val="40"/>
        </w:rPr>
      </w:pPr>
      <w:r>
        <w:rPr>
          <w:rFonts w:hint="eastAsia" w:ascii="黑体" w:hAnsi="黑体" w:eastAsia="黑体"/>
          <w:b/>
          <w:bCs/>
          <w:sz w:val="52"/>
          <w:szCs w:val="40"/>
        </w:rPr>
        <w:t>泮沙排洪渠达标方案</w:t>
      </w:r>
    </w:p>
    <w:p>
      <w:pPr>
        <w:jc w:val="center"/>
        <w:rPr>
          <w:rFonts w:ascii="方正小标宋简体" w:hAnsi="方正小标宋简体" w:eastAsia="方正小标宋简体"/>
          <w:bCs/>
          <w:w w:val="90"/>
          <w:sz w:val="52"/>
          <w:szCs w:val="40"/>
        </w:rPr>
      </w:pPr>
    </w:p>
    <w:p>
      <w:pPr>
        <w:jc w:val="center"/>
        <w:rPr>
          <w:rFonts w:ascii="方正小标宋简体" w:hAnsi="方正小标宋简体" w:eastAsia="方正小标宋简体"/>
          <w:bCs/>
          <w:w w:val="90"/>
          <w:sz w:val="52"/>
          <w:szCs w:val="40"/>
        </w:rPr>
      </w:pPr>
    </w:p>
    <w:p>
      <w:pPr>
        <w:rPr>
          <w:rFonts w:ascii="华文仿宋" w:hAnsi="华文仿宋" w:eastAsia="华文仿宋"/>
          <w:b/>
          <w:szCs w:val="72"/>
        </w:rPr>
      </w:pPr>
    </w:p>
    <w:p>
      <w:pPr>
        <w:rPr>
          <w:rFonts w:ascii="楷体_GB2312" w:hAnsi="楷体_GB2312" w:eastAsia="楷体_GB2312"/>
          <w:sz w:val="36"/>
        </w:rPr>
      </w:pPr>
    </w:p>
    <w:p>
      <w:pPr>
        <w:rPr>
          <w:rFonts w:ascii="仿宋_GB2312" w:hAnsi="华文仿宋"/>
          <w:b/>
          <w:bCs/>
          <w:szCs w:val="32"/>
        </w:rPr>
      </w:pPr>
    </w:p>
    <w:p>
      <w:pPr>
        <w:rPr>
          <w:rFonts w:ascii="仿宋_GB2312" w:hAnsi="华文仿宋"/>
          <w:b/>
          <w:bCs/>
          <w:szCs w:val="32"/>
        </w:rPr>
      </w:pPr>
    </w:p>
    <w:p>
      <w:pPr>
        <w:rPr>
          <w:rFonts w:ascii="仿宋_GB2312" w:hAnsi="华文仿宋"/>
          <w:b/>
          <w:bCs/>
          <w:szCs w:val="32"/>
        </w:rPr>
      </w:pPr>
    </w:p>
    <w:p>
      <w:pPr>
        <w:rPr>
          <w:rFonts w:ascii="仿宋_GB2312" w:hAnsi="华文仿宋"/>
          <w:b/>
          <w:bCs/>
          <w:szCs w:val="32"/>
        </w:rPr>
      </w:pPr>
    </w:p>
    <w:p>
      <w:pPr>
        <w:rPr>
          <w:rFonts w:ascii="仿宋_GB2312" w:hAnsi="华文仿宋"/>
          <w:b/>
          <w:bCs/>
          <w:szCs w:val="32"/>
        </w:rPr>
      </w:pPr>
    </w:p>
    <w:p>
      <w:pPr>
        <w:jc w:val="center"/>
        <w:rPr>
          <w:rFonts w:ascii="仿宋_GB2312" w:hAnsi="华文仿宋"/>
          <w:b/>
          <w:bCs/>
          <w:szCs w:val="32"/>
        </w:rPr>
      </w:pPr>
      <w:r>
        <w:rPr>
          <w:rFonts w:hint="eastAsia" w:ascii="仿宋_GB2312" w:hAnsi="华文仿宋"/>
          <w:b/>
          <w:bCs/>
          <w:szCs w:val="32"/>
        </w:rPr>
        <w:t>二〇一七年</w:t>
      </w:r>
      <w:r>
        <w:rPr>
          <w:rFonts w:hint="eastAsia" w:ascii="仿宋_GB2312" w:hAnsi="华文仿宋"/>
          <w:b/>
          <w:bCs/>
          <w:szCs w:val="32"/>
          <w:lang w:eastAsia="zh-CN"/>
        </w:rPr>
        <w:t>八</w:t>
      </w:r>
      <w:r>
        <w:rPr>
          <w:rFonts w:hint="eastAsia" w:ascii="仿宋_GB2312" w:hAnsi="华文仿宋"/>
          <w:b/>
          <w:bCs/>
          <w:szCs w:val="32"/>
        </w:rPr>
        <w:t>月</w:t>
      </w:r>
    </w:p>
    <w:p>
      <w:pPr>
        <w:spacing w:line="300" w:lineRule="auto"/>
        <w:rPr>
          <w:rFonts w:ascii="仿宋_GB2312" w:hAnsi="仿宋_GB2312"/>
        </w:rPr>
      </w:pPr>
    </w:p>
    <w:p>
      <w:pPr>
        <w:rPr>
          <w:rFonts w:ascii="仿宋_GB2312" w:hAnsi="仿宋_GB2312"/>
        </w:rPr>
        <w:sectPr>
          <w:headerReference r:id="rId3" w:type="default"/>
          <w:footerReference r:id="rId4" w:type="default"/>
          <w:pgSz w:w="11906" w:h="16838"/>
          <w:pgMar w:top="2097" w:right="1474" w:bottom="1984" w:left="1587" w:header="851" w:footer="1559" w:gutter="0"/>
          <w:cols w:space="720" w:num="1"/>
          <w:docGrid w:type="linesAndChars" w:linePitch="579" w:charSpace="-842"/>
        </w:sectPr>
      </w:pPr>
    </w:p>
    <w:sdt>
      <w:sdtPr>
        <w:rPr>
          <w:rFonts w:ascii="Times New Roman" w:hAnsi="Times New Roman" w:eastAsia="仿宋_GB2312" w:cs="Times New Roman"/>
          <w:b/>
          <w:color w:val="auto"/>
          <w:kern w:val="2"/>
          <w:szCs w:val="20"/>
          <w:lang w:val="zh-CN"/>
        </w:rPr>
        <w:id w:val="1618409128"/>
      </w:sdtPr>
      <w:sdtEndPr>
        <w:rPr>
          <w:rFonts w:ascii="Times New Roman" w:hAnsi="Times New Roman" w:eastAsia="仿宋_GB2312" w:cs="Times New Roman"/>
          <w:b/>
          <w:bCs/>
          <w:color w:val="auto"/>
          <w:kern w:val="2"/>
          <w:szCs w:val="20"/>
          <w:lang w:val="zh-CN"/>
        </w:rPr>
      </w:sdtEndPr>
      <w:sdtContent>
        <w:p>
          <w:pPr>
            <w:pStyle w:val="71"/>
            <w:spacing w:line="480" w:lineRule="auto"/>
            <w:jc w:val="center"/>
            <w:rPr>
              <w:b/>
              <w:color w:val="auto"/>
            </w:rPr>
          </w:pPr>
          <w:r>
            <w:rPr>
              <w:b/>
              <w:color w:val="auto"/>
              <w:lang w:val="zh-CN"/>
            </w:rPr>
            <w:t>目</w:t>
          </w:r>
          <w:r>
            <w:rPr>
              <w:rFonts w:hint="eastAsia"/>
              <w:b/>
              <w:color w:val="auto"/>
              <w:lang w:val="zh-CN"/>
            </w:rPr>
            <w:t xml:space="preserve">  </w:t>
          </w:r>
          <w:r>
            <w:rPr>
              <w:b/>
              <w:color w:val="auto"/>
              <w:lang w:val="zh-CN"/>
            </w:rPr>
            <w:t>录</w:t>
          </w:r>
        </w:p>
        <w:p>
          <w:pPr>
            <w:pStyle w:val="16"/>
            <w:tabs>
              <w:tab w:val="right" w:leader="dot" w:pos="8835"/>
            </w:tabs>
            <w:spacing w:line="276" w:lineRule="auto"/>
            <w:rPr>
              <w:rFonts w:asciiTheme="minorHAnsi" w:hAnsiTheme="minorHAnsi" w:eastAsiaTheme="minorEastAsia" w:cstheme="minorBidi"/>
              <w:b/>
              <w:kern w:val="2"/>
              <w:sz w:val="24"/>
              <w:szCs w:val="24"/>
            </w:rPr>
          </w:pPr>
          <w:r>
            <w:rPr>
              <w:b/>
              <w:sz w:val="24"/>
              <w:szCs w:val="24"/>
            </w:rPr>
            <w:fldChar w:fldCharType="begin"/>
          </w:r>
          <w:r>
            <w:rPr>
              <w:b/>
              <w:sz w:val="24"/>
              <w:szCs w:val="24"/>
            </w:rPr>
            <w:instrText xml:space="preserve"> TOC \o "1-3" \h \z \u </w:instrText>
          </w:r>
          <w:r>
            <w:rPr>
              <w:b/>
              <w:sz w:val="24"/>
              <w:szCs w:val="24"/>
            </w:rPr>
            <w:fldChar w:fldCharType="separate"/>
          </w:r>
          <w:r>
            <w:fldChar w:fldCharType="begin"/>
          </w:r>
          <w:r>
            <w:instrText xml:space="preserve"> HYPERLINK \l "_Toc487012032" </w:instrText>
          </w:r>
          <w:r>
            <w:fldChar w:fldCharType="separate"/>
          </w:r>
          <w:r>
            <w:rPr>
              <w:rStyle w:val="31"/>
              <w:rFonts w:hint="eastAsia" w:ascii="黑体" w:hAnsi="黑体" w:eastAsia="黑体"/>
              <w:b/>
              <w:sz w:val="24"/>
              <w:szCs w:val="24"/>
            </w:rPr>
            <w:t>一、总体要求</w:t>
          </w:r>
          <w:r>
            <w:rPr>
              <w:b/>
              <w:sz w:val="24"/>
              <w:szCs w:val="24"/>
            </w:rPr>
            <w:tab/>
          </w:r>
          <w:r>
            <w:rPr>
              <w:b/>
              <w:sz w:val="24"/>
              <w:szCs w:val="24"/>
            </w:rPr>
            <w:fldChar w:fldCharType="begin"/>
          </w:r>
          <w:r>
            <w:rPr>
              <w:b/>
              <w:sz w:val="24"/>
              <w:szCs w:val="24"/>
            </w:rPr>
            <w:instrText xml:space="preserve"> PAGEREF _Toc487012032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"_Toc487012033" </w:instrText>
          </w:r>
          <w:r>
            <w:fldChar w:fldCharType="separate"/>
          </w:r>
          <w:r>
            <w:rPr>
              <w:rStyle w:val="31"/>
              <w:rFonts w:hint="eastAsia" w:ascii="楷体_GB2312" w:hAnsi="楷体_GB2312" w:eastAsia="楷体_GB2312"/>
              <w:b/>
              <w:sz w:val="24"/>
              <w:szCs w:val="24"/>
            </w:rPr>
            <w:t>（一）指导思想</w:t>
          </w:r>
          <w:r>
            <w:rPr>
              <w:b/>
              <w:sz w:val="24"/>
              <w:szCs w:val="24"/>
            </w:rPr>
            <w:tab/>
          </w:r>
          <w:r>
            <w:rPr>
              <w:b/>
              <w:sz w:val="24"/>
              <w:szCs w:val="24"/>
            </w:rPr>
            <w:fldChar w:fldCharType="begin"/>
          </w:r>
          <w:r>
            <w:rPr>
              <w:b/>
              <w:sz w:val="24"/>
              <w:szCs w:val="24"/>
            </w:rPr>
            <w:instrText xml:space="preserve"> PAGEREF _Toc487012033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"_Toc487012034" </w:instrText>
          </w:r>
          <w:r>
            <w:fldChar w:fldCharType="separate"/>
          </w:r>
          <w:r>
            <w:rPr>
              <w:rStyle w:val="31"/>
              <w:rFonts w:hint="eastAsia" w:ascii="楷体_GB2312" w:hAnsi="楷体_GB2312" w:eastAsia="楷体_GB2312"/>
              <w:b/>
              <w:sz w:val="24"/>
              <w:szCs w:val="24"/>
            </w:rPr>
            <w:t>（二）主要原则</w:t>
          </w:r>
          <w:r>
            <w:rPr>
              <w:b/>
              <w:sz w:val="24"/>
              <w:szCs w:val="24"/>
            </w:rPr>
            <w:tab/>
          </w:r>
          <w:r>
            <w:rPr>
              <w:b/>
              <w:sz w:val="24"/>
              <w:szCs w:val="24"/>
            </w:rPr>
            <w:fldChar w:fldCharType="begin"/>
          </w:r>
          <w:r>
            <w:rPr>
              <w:b/>
              <w:sz w:val="24"/>
              <w:szCs w:val="24"/>
            </w:rPr>
            <w:instrText xml:space="preserve"> PAGEREF _Toc487012034 \h </w:instrText>
          </w:r>
          <w:r>
            <w:rPr>
              <w:b/>
              <w:sz w:val="24"/>
              <w:szCs w:val="24"/>
            </w:rPr>
            <w:fldChar w:fldCharType="separate"/>
          </w:r>
          <w:r>
            <w:rPr>
              <w:b/>
              <w:sz w:val="24"/>
              <w:szCs w:val="24"/>
            </w:rPr>
            <w:t>2</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"_Toc487012035" </w:instrText>
          </w:r>
          <w:r>
            <w:fldChar w:fldCharType="separate"/>
          </w:r>
          <w:r>
            <w:rPr>
              <w:rStyle w:val="31"/>
              <w:rFonts w:hint="eastAsia" w:ascii="楷体_GB2312" w:hAnsi="楷体_GB2312" w:eastAsia="楷体_GB2312"/>
              <w:b/>
              <w:sz w:val="24"/>
              <w:szCs w:val="24"/>
            </w:rPr>
            <w:t>（三）总体思路</w:t>
          </w:r>
          <w:r>
            <w:rPr>
              <w:b/>
              <w:sz w:val="24"/>
              <w:szCs w:val="24"/>
            </w:rPr>
            <w:tab/>
          </w:r>
          <w:r>
            <w:rPr>
              <w:b/>
              <w:sz w:val="24"/>
              <w:szCs w:val="24"/>
            </w:rPr>
            <w:fldChar w:fldCharType="begin"/>
          </w:r>
          <w:r>
            <w:rPr>
              <w:b/>
              <w:sz w:val="24"/>
              <w:szCs w:val="24"/>
            </w:rPr>
            <w:instrText xml:space="preserve"> PAGEREF _Toc487012035 \h </w:instrText>
          </w:r>
          <w:r>
            <w:rPr>
              <w:b/>
              <w:sz w:val="24"/>
              <w:szCs w:val="24"/>
            </w:rPr>
            <w:fldChar w:fldCharType="separate"/>
          </w:r>
          <w:r>
            <w:rPr>
              <w:b/>
              <w:sz w:val="24"/>
              <w:szCs w:val="24"/>
            </w:rPr>
            <w:t>3</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"_Toc487012036" </w:instrText>
          </w:r>
          <w:r>
            <w:fldChar w:fldCharType="separate"/>
          </w:r>
          <w:r>
            <w:rPr>
              <w:rStyle w:val="31"/>
              <w:rFonts w:hint="eastAsia" w:ascii="楷体_GB2312" w:hAnsi="楷体_GB2312" w:eastAsia="楷体_GB2312"/>
              <w:b/>
              <w:sz w:val="24"/>
              <w:szCs w:val="24"/>
            </w:rPr>
            <w:t>（四）整治范围与期限</w:t>
          </w:r>
          <w:r>
            <w:rPr>
              <w:b/>
              <w:sz w:val="24"/>
              <w:szCs w:val="24"/>
            </w:rPr>
            <w:tab/>
          </w:r>
          <w:r>
            <w:rPr>
              <w:b/>
              <w:sz w:val="24"/>
              <w:szCs w:val="24"/>
            </w:rPr>
            <w:fldChar w:fldCharType="begin"/>
          </w:r>
          <w:r>
            <w:rPr>
              <w:b/>
              <w:sz w:val="24"/>
              <w:szCs w:val="24"/>
            </w:rPr>
            <w:instrText xml:space="preserve"> PAGEREF _Toc487012036 \h </w:instrText>
          </w:r>
          <w:r>
            <w:rPr>
              <w:b/>
              <w:sz w:val="24"/>
              <w:szCs w:val="24"/>
            </w:rPr>
            <w:fldChar w:fldCharType="separate"/>
          </w:r>
          <w:r>
            <w:rPr>
              <w:b/>
              <w:sz w:val="24"/>
              <w:szCs w:val="24"/>
            </w:rPr>
            <w:t>4</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"_Toc487012037" </w:instrText>
          </w:r>
          <w:r>
            <w:fldChar w:fldCharType="separate"/>
          </w:r>
          <w:r>
            <w:rPr>
              <w:rStyle w:val="31"/>
              <w:rFonts w:hint="eastAsia" w:ascii="楷体_GB2312" w:hAnsi="楷体_GB2312" w:eastAsia="楷体_GB2312"/>
              <w:b/>
              <w:sz w:val="24"/>
              <w:szCs w:val="24"/>
            </w:rPr>
            <w:t>（五）整治目标</w:t>
          </w:r>
          <w:r>
            <w:rPr>
              <w:b/>
              <w:sz w:val="24"/>
              <w:szCs w:val="24"/>
            </w:rPr>
            <w:tab/>
          </w:r>
          <w:r>
            <w:rPr>
              <w:b/>
              <w:sz w:val="24"/>
              <w:szCs w:val="24"/>
            </w:rPr>
            <w:fldChar w:fldCharType="begin"/>
          </w:r>
          <w:r>
            <w:rPr>
              <w:b/>
              <w:sz w:val="24"/>
              <w:szCs w:val="24"/>
            </w:rPr>
            <w:instrText xml:space="preserve"> PAGEREF _Toc487012037 \h </w:instrText>
          </w:r>
          <w:r>
            <w:rPr>
              <w:b/>
              <w:sz w:val="24"/>
              <w:szCs w:val="24"/>
            </w:rPr>
            <w:fldChar w:fldCharType="separate"/>
          </w:r>
          <w:r>
            <w:rPr>
              <w:b/>
              <w:sz w:val="24"/>
              <w:szCs w:val="24"/>
            </w:rPr>
            <w:t>4</w:t>
          </w:r>
          <w:r>
            <w:rPr>
              <w:b/>
              <w:sz w:val="24"/>
              <w:szCs w:val="24"/>
            </w:rPr>
            <w:fldChar w:fldCharType="end"/>
          </w:r>
          <w:r>
            <w:rPr>
              <w:b/>
              <w:sz w:val="24"/>
              <w:szCs w:val="24"/>
            </w:rPr>
            <w:fldChar w:fldCharType="end"/>
          </w:r>
        </w:p>
        <w:p>
          <w:pPr>
            <w:pStyle w:val="16"/>
            <w:tabs>
              <w:tab w:val="right" w:leader="dot" w:pos="8835"/>
            </w:tabs>
            <w:spacing w:line="276" w:lineRule="auto"/>
            <w:rPr>
              <w:rFonts w:asciiTheme="minorHAnsi" w:hAnsiTheme="minorHAnsi" w:eastAsiaTheme="minorEastAsia" w:cstheme="minorBidi"/>
              <w:b/>
              <w:kern w:val="2"/>
              <w:sz w:val="24"/>
              <w:szCs w:val="24"/>
            </w:rPr>
          </w:pPr>
          <w:r>
            <w:fldChar w:fldCharType="begin"/>
          </w:r>
          <w:r>
            <w:instrText xml:space="preserve"> HYPERLINK \l "_Toc487012038" </w:instrText>
          </w:r>
          <w:r>
            <w:fldChar w:fldCharType="separate"/>
          </w:r>
          <w:r>
            <w:rPr>
              <w:rStyle w:val="31"/>
              <w:rFonts w:hint="eastAsia" w:ascii="黑体" w:hAnsi="黑体" w:eastAsia="黑体"/>
              <w:b/>
              <w:sz w:val="24"/>
              <w:szCs w:val="24"/>
            </w:rPr>
            <w:t>二、流域存在的主要问题</w:t>
          </w:r>
          <w:r>
            <w:rPr>
              <w:b/>
              <w:sz w:val="24"/>
              <w:szCs w:val="24"/>
            </w:rPr>
            <w:tab/>
          </w:r>
          <w:r>
            <w:rPr>
              <w:b/>
              <w:sz w:val="24"/>
              <w:szCs w:val="24"/>
            </w:rPr>
            <w:fldChar w:fldCharType="begin"/>
          </w:r>
          <w:r>
            <w:rPr>
              <w:b/>
              <w:sz w:val="24"/>
              <w:szCs w:val="24"/>
            </w:rPr>
            <w:instrText xml:space="preserve"> PAGEREF _Toc487012038 \h </w:instrText>
          </w:r>
          <w:r>
            <w:rPr>
              <w:b/>
              <w:sz w:val="24"/>
              <w:szCs w:val="24"/>
            </w:rPr>
            <w:fldChar w:fldCharType="separate"/>
          </w:r>
          <w:r>
            <w:rPr>
              <w:b/>
              <w:sz w:val="24"/>
              <w:szCs w:val="24"/>
            </w:rPr>
            <w:t>4</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"_Toc487012039" </w:instrText>
          </w:r>
          <w:r>
            <w:fldChar w:fldCharType="separate"/>
          </w:r>
          <w:r>
            <w:rPr>
              <w:rStyle w:val="31"/>
              <w:rFonts w:hint="eastAsia" w:ascii="楷体_GB2312" w:hAnsi="楷体_GB2312" w:eastAsia="楷体_GB2312"/>
              <w:b/>
              <w:sz w:val="24"/>
              <w:szCs w:val="24"/>
            </w:rPr>
            <w:t>（一）劳动密集型企业众多，生活污染源治理程度低</w:t>
          </w:r>
          <w:r>
            <w:rPr>
              <w:b/>
              <w:sz w:val="24"/>
              <w:szCs w:val="24"/>
            </w:rPr>
            <w:tab/>
          </w:r>
          <w:r>
            <w:rPr>
              <w:b/>
              <w:sz w:val="24"/>
              <w:szCs w:val="24"/>
            </w:rPr>
            <w:fldChar w:fldCharType="begin"/>
          </w:r>
          <w:r>
            <w:rPr>
              <w:b/>
              <w:sz w:val="24"/>
              <w:szCs w:val="24"/>
            </w:rPr>
            <w:instrText xml:space="preserve"> PAGEREF _Toc487012039 \h </w:instrText>
          </w:r>
          <w:r>
            <w:rPr>
              <w:b/>
              <w:sz w:val="24"/>
              <w:szCs w:val="24"/>
            </w:rPr>
            <w:fldChar w:fldCharType="separate"/>
          </w:r>
          <w:r>
            <w:rPr>
              <w:b/>
              <w:sz w:val="24"/>
              <w:szCs w:val="24"/>
            </w:rPr>
            <w:t>5</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"_Toc487012040" </w:instrText>
          </w:r>
          <w:r>
            <w:fldChar w:fldCharType="separate"/>
          </w:r>
          <w:r>
            <w:rPr>
              <w:rStyle w:val="31"/>
              <w:rFonts w:hint="eastAsia" w:ascii="楷体_GB2312" w:hAnsi="楷体_GB2312" w:eastAsia="楷体_GB2312"/>
              <w:b/>
              <w:sz w:val="24"/>
              <w:szCs w:val="24"/>
            </w:rPr>
            <w:t>（二）工业污水产生量大，工业污水排放监管未完善</w:t>
          </w:r>
          <w:r>
            <w:rPr>
              <w:b/>
              <w:sz w:val="24"/>
              <w:szCs w:val="24"/>
            </w:rPr>
            <w:tab/>
          </w:r>
          <w:r>
            <w:rPr>
              <w:b/>
              <w:sz w:val="24"/>
              <w:szCs w:val="24"/>
            </w:rPr>
            <w:fldChar w:fldCharType="begin"/>
          </w:r>
          <w:r>
            <w:rPr>
              <w:b/>
              <w:sz w:val="24"/>
              <w:szCs w:val="24"/>
            </w:rPr>
            <w:instrText xml:space="preserve"> PAGEREF _Toc487012040 \h </w:instrText>
          </w:r>
          <w:r>
            <w:rPr>
              <w:b/>
              <w:sz w:val="24"/>
              <w:szCs w:val="24"/>
            </w:rPr>
            <w:fldChar w:fldCharType="separate"/>
          </w:r>
          <w:r>
            <w:rPr>
              <w:b/>
              <w:sz w:val="24"/>
              <w:szCs w:val="24"/>
            </w:rPr>
            <w:t>5</w:t>
          </w:r>
          <w:r>
            <w:rPr>
              <w:b/>
              <w:sz w:val="24"/>
              <w:szCs w:val="24"/>
            </w:rPr>
            <w:fldChar w:fldCharType="end"/>
          </w:r>
          <w:r>
            <w:rPr>
              <w:b/>
              <w:sz w:val="24"/>
              <w:szCs w:val="24"/>
            </w:rPr>
            <w:fldChar w:fldCharType="end"/>
          </w:r>
        </w:p>
        <w:p>
          <w:pPr>
            <w:pStyle w:val="16"/>
            <w:tabs>
              <w:tab w:val="right" w:leader="dot" w:pos="8835"/>
            </w:tabs>
            <w:spacing w:line="276" w:lineRule="auto"/>
            <w:rPr>
              <w:rFonts w:asciiTheme="minorHAnsi" w:hAnsiTheme="minorHAnsi" w:eastAsiaTheme="minorEastAsia" w:cstheme="minorBidi"/>
              <w:b/>
              <w:kern w:val="2"/>
              <w:sz w:val="24"/>
              <w:szCs w:val="24"/>
            </w:rPr>
          </w:pPr>
          <w:r>
            <w:fldChar w:fldCharType="begin"/>
          </w:r>
          <w:r>
            <w:instrText xml:space="preserve"> HYPERLINK \l "_Toc487012041" </w:instrText>
          </w:r>
          <w:r>
            <w:fldChar w:fldCharType="separate"/>
          </w:r>
          <w:r>
            <w:rPr>
              <w:rStyle w:val="31"/>
              <w:rFonts w:hint="eastAsia" w:ascii="黑体" w:hAnsi="黑体" w:eastAsia="黑体"/>
              <w:b/>
              <w:sz w:val="24"/>
              <w:szCs w:val="24"/>
            </w:rPr>
            <w:t>三、主要任务与措施</w:t>
          </w:r>
          <w:r>
            <w:rPr>
              <w:b/>
              <w:sz w:val="24"/>
              <w:szCs w:val="24"/>
            </w:rPr>
            <w:tab/>
          </w:r>
          <w:r>
            <w:rPr>
              <w:b/>
              <w:sz w:val="24"/>
              <w:szCs w:val="24"/>
            </w:rPr>
            <w:fldChar w:fldCharType="begin"/>
          </w:r>
          <w:r>
            <w:rPr>
              <w:b/>
              <w:sz w:val="24"/>
              <w:szCs w:val="24"/>
            </w:rPr>
            <w:instrText xml:space="preserve"> PAGEREF _Toc487012041 \h </w:instrText>
          </w:r>
          <w:r>
            <w:rPr>
              <w:b/>
              <w:sz w:val="24"/>
              <w:szCs w:val="24"/>
            </w:rPr>
            <w:fldChar w:fldCharType="separate"/>
          </w:r>
          <w:r>
            <w:rPr>
              <w:b/>
              <w:sz w:val="24"/>
              <w:szCs w:val="24"/>
            </w:rPr>
            <w:t>5</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"_Toc487012042" </w:instrText>
          </w:r>
          <w:r>
            <w:fldChar w:fldCharType="separate"/>
          </w:r>
          <w:r>
            <w:rPr>
              <w:rStyle w:val="31"/>
              <w:rFonts w:hint="eastAsia" w:ascii="楷体_GB2312" w:hAnsi="楷体_GB2312" w:eastAsia="楷体_GB2312"/>
              <w:b/>
              <w:sz w:val="24"/>
              <w:szCs w:val="24"/>
            </w:rPr>
            <w:t>（一）控源截污减排，深化泮沙排洪渠污染防治</w:t>
          </w:r>
          <w:r>
            <w:rPr>
              <w:b/>
              <w:sz w:val="24"/>
              <w:szCs w:val="24"/>
            </w:rPr>
            <w:tab/>
          </w:r>
          <w:r>
            <w:rPr>
              <w:b/>
              <w:sz w:val="24"/>
              <w:szCs w:val="24"/>
            </w:rPr>
            <w:fldChar w:fldCharType="begin"/>
          </w:r>
          <w:r>
            <w:rPr>
              <w:b/>
              <w:sz w:val="24"/>
              <w:szCs w:val="24"/>
            </w:rPr>
            <w:instrText xml:space="preserve"> PAGEREF _Toc487012042 \h </w:instrText>
          </w:r>
          <w:r>
            <w:rPr>
              <w:b/>
              <w:sz w:val="24"/>
              <w:szCs w:val="24"/>
            </w:rPr>
            <w:fldChar w:fldCharType="separate"/>
          </w:r>
          <w:r>
            <w:rPr>
              <w:b/>
              <w:sz w:val="24"/>
              <w:szCs w:val="24"/>
            </w:rPr>
            <w:t>5</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"_Toc487012043" </w:instrText>
          </w:r>
          <w:r>
            <w:fldChar w:fldCharType="separate"/>
          </w:r>
          <w:r>
            <w:rPr>
              <w:rStyle w:val="31"/>
              <w:b/>
              <w:sz w:val="24"/>
              <w:szCs w:val="24"/>
            </w:rPr>
            <w:t>1</w:t>
          </w:r>
          <w:r>
            <w:rPr>
              <w:rStyle w:val="31"/>
              <w:rFonts w:hint="eastAsia"/>
              <w:b/>
              <w:sz w:val="24"/>
              <w:szCs w:val="24"/>
            </w:rPr>
            <w:t>、防治工业污染</w:t>
          </w:r>
          <w:r>
            <w:rPr>
              <w:b/>
              <w:sz w:val="24"/>
              <w:szCs w:val="24"/>
            </w:rPr>
            <w:tab/>
          </w:r>
          <w:r>
            <w:rPr>
              <w:b/>
              <w:sz w:val="24"/>
              <w:szCs w:val="24"/>
            </w:rPr>
            <w:fldChar w:fldCharType="begin"/>
          </w:r>
          <w:r>
            <w:rPr>
              <w:b/>
              <w:sz w:val="24"/>
              <w:szCs w:val="24"/>
            </w:rPr>
            <w:instrText xml:space="preserve"> PAGEREF _Toc487012043 \h </w:instrText>
          </w:r>
          <w:r>
            <w:rPr>
              <w:b/>
              <w:sz w:val="24"/>
              <w:szCs w:val="24"/>
            </w:rPr>
            <w:fldChar w:fldCharType="separate"/>
          </w:r>
          <w:r>
            <w:rPr>
              <w:b/>
              <w:sz w:val="24"/>
              <w:szCs w:val="24"/>
            </w:rPr>
            <w:t>5</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"_Toc487012044" </w:instrText>
          </w:r>
          <w:r>
            <w:fldChar w:fldCharType="separate"/>
          </w:r>
          <w:r>
            <w:rPr>
              <w:rStyle w:val="31"/>
              <w:b/>
              <w:sz w:val="24"/>
              <w:szCs w:val="24"/>
            </w:rPr>
            <w:t>2</w:t>
          </w:r>
          <w:r>
            <w:rPr>
              <w:rStyle w:val="31"/>
              <w:rFonts w:hint="eastAsia"/>
              <w:b/>
              <w:sz w:val="24"/>
              <w:szCs w:val="24"/>
            </w:rPr>
            <w:t>、防治城镇生活污染</w:t>
          </w:r>
          <w:r>
            <w:rPr>
              <w:b/>
              <w:sz w:val="24"/>
              <w:szCs w:val="24"/>
            </w:rPr>
            <w:tab/>
          </w:r>
          <w:r>
            <w:rPr>
              <w:b/>
              <w:sz w:val="24"/>
              <w:szCs w:val="24"/>
            </w:rPr>
            <w:fldChar w:fldCharType="begin"/>
          </w:r>
          <w:r>
            <w:rPr>
              <w:b/>
              <w:sz w:val="24"/>
              <w:szCs w:val="24"/>
            </w:rPr>
            <w:instrText xml:space="preserve"> PAGEREF _Toc487012044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"_Toc487012045" </w:instrText>
          </w:r>
          <w:r>
            <w:fldChar w:fldCharType="separate"/>
          </w:r>
          <w:r>
            <w:rPr>
              <w:rStyle w:val="31"/>
              <w:b/>
              <w:sz w:val="24"/>
              <w:szCs w:val="24"/>
            </w:rPr>
            <w:t>3</w:t>
          </w:r>
          <w:r>
            <w:rPr>
              <w:rStyle w:val="31"/>
              <w:rFonts w:hint="eastAsia"/>
              <w:b/>
              <w:sz w:val="24"/>
              <w:szCs w:val="24"/>
            </w:rPr>
            <w:t>、农村环境综合整治</w:t>
          </w:r>
          <w:r>
            <w:rPr>
              <w:b/>
              <w:sz w:val="24"/>
              <w:szCs w:val="24"/>
            </w:rPr>
            <w:tab/>
          </w:r>
          <w:r>
            <w:rPr>
              <w:b/>
              <w:sz w:val="24"/>
              <w:szCs w:val="24"/>
            </w:rPr>
            <w:fldChar w:fldCharType="begin"/>
          </w:r>
          <w:r>
            <w:rPr>
              <w:b/>
              <w:sz w:val="24"/>
              <w:szCs w:val="24"/>
            </w:rPr>
            <w:instrText xml:space="preserve"> PAGEREF _Toc487012045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"_Toc487012046" </w:instrText>
          </w:r>
          <w:r>
            <w:fldChar w:fldCharType="separate"/>
          </w:r>
          <w:r>
            <w:rPr>
              <w:rStyle w:val="31"/>
              <w:rFonts w:hint="eastAsia" w:ascii="楷体_GB2312" w:hAnsi="楷体_GB2312" w:eastAsia="楷体_GB2312"/>
              <w:b/>
              <w:sz w:val="24"/>
              <w:szCs w:val="24"/>
            </w:rPr>
            <w:t>（二）水环境综合治理，逐步恢复河流生态功能</w:t>
          </w:r>
          <w:r>
            <w:rPr>
              <w:b/>
              <w:sz w:val="24"/>
              <w:szCs w:val="24"/>
            </w:rPr>
            <w:tab/>
          </w:r>
          <w:r>
            <w:rPr>
              <w:b/>
              <w:sz w:val="24"/>
              <w:szCs w:val="24"/>
            </w:rPr>
            <w:fldChar w:fldCharType="begin"/>
          </w:r>
          <w:r>
            <w:rPr>
              <w:b/>
              <w:sz w:val="24"/>
              <w:szCs w:val="24"/>
            </w:rPr>
            <w:instrText xml:space="preserve"> PAGEREF _Toc487012046 \h </w:instrText>
          </w:r>
          <w:r>
            <w:rPr>
              <w:b/>
              <w:sz w:val="24"/>
              <w:szCs w:val="24"/>
            </w:rPr>
            <w:fldChar w:fldCharType="separate"/>
          </w:r>
          <w:r>
            <w:rPr>
              <w:b/>
              <w:sz w:val="24"/>
              <w:szCs w:val="24"/>
            </w:rPr>
            <w:t>9</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"_Toc487012047" </w:instrText>
          </w:r>
          <w:r>
            <w:fldChar w:fldCharType="separate"/>
          </w:r>
          <w:r>
            <w:rPr>
              <w:rStyle w:val="31"/>
              <w:rFonts w:hint="eastAsia" w:ascii="楷体_GB2312" w:hAnsi="楷体_GB2312" w:eastAsia="楷体_GB2312"/>
              <w:b/>
              <w:sz w:val="24"/>
              <w:szCs w:val="24"/>
            </w:rPr>
            <w:t>（三）强化环境监管，提高水污染防治水平</w:t>
          </w:r>
          <w:r>
            <w:rPr>
              <w:b/>
              <w:sz w:val="24"/>
              <w:szCs w:val="24"/>
            </w:rPr>
            <w:tab/>
          </w:r>
          <w:r>
            <w:rPr>
              <w:b/>
              <w:sz w:val="24"/>
              <w:szCs w:val="24"/>
            </w:rPr>
            <w:fldChar w:fldCharType="begin"/>
          </w:r>
          <w:r>
            <w:rPr>
              <w:b/>
              <w:sz w:val="24"/>
              <w:szCs w:val="24"/>
            </w:rPr>
            <w:instrText xml:space="preserve"> PAGEREF _Toc487012047 \h </w:instrText>
          </w:r>
          <w:r>
            <w:rPr>
              <w:b/>
              <w:sz w:val="24"/>
              <w:szCs w:val="24"/>
            </w:rPr>
            <w:fldChar w:fldCharType="separate"/>
          </w:r>
          <w:r>
            <w:rPr>
              <w:b/>
              <w:sz w:val="24"/>
              <w:szCs w:val="24"/>
            </w:rPr>
            <w:t>9</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"_Toc487012048" </w:instrText>
          </w:r>
          <w:r>
            <w:fldChar w:fldCharType="separate"/>
          </w:r>
          <w:r>
            <w:rPr>
              <w:rStyle w:val="31"/>
              <w:rFonts w:hint="eastAsia" w:ascii="楷体_GB2312" w:hAnsi="楷体_GB2312" w:eastAsia="楷体_GB2312"/>
              <w:b/>
              <w:sz w:val="24"/>
              <w:szCs w:val="24"/>
            </w:rPr>
            <w:t>（四）调结构优布局，促进经济结构转型与升级</w:t>
          </w:r>
          <w:r>
            <w:rPr>
              <w:b/>
              <w:sz w:val="24"/>
              <w:szCs w:val="24"/>
            </w:rPr>
            <w:tab/>
          </w:r>
          <w:r>
            <w:rPr>
              <w:b/>
              <w:sz w:val="24"/>
              <w:szCs w:val="24"/>
            </w:rPr>
            <w:fldChar w:fldCharType="begin"/>
          </w:r>
          <w:r>
            <w:rPr>
              <w:b/>
              <w:sz w:val="24"/>
              <w:szCs w:val="24"/>
            </w:rPr>
            <w:instrText xml:space="preserve"> PAGEREF _Toc487012048 \h </w:instrText>
          </w:r>
          <w:r>
            <w:rPr>
              <w:b/>
              <w:sz w:val="24"/>
              <w:szCs w:val="24"/>
            </w:rPr>
            <w:fldChar w:fldCharType="separate"/>
          </w:r>
          <w:r>
            <w:rPr>
              <w:b/>
              <w:sz w:val="24"/>
              <w:szCs w:val="24"/>
            </w:rPr>
            <w:t>10</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"_Toc487012049" </w:instrText>
          </w:r>
          <w:r>
            <w:fldChar w:fldCharType="separate"/>
          </w:r>
          <w:r>
            <w:rPr>
              <w:rStyle w:val="31"/>
              <w:b/>
              <w:sz w:val="24"/>
              <w:szCs w:val="24"/>
            </w:rPr>
            <w:t>1</w:t>
          </w:r>
          <w:r>
            <w:rPr>
              <w:rStyle w:val="31"/>
              <w:rFonts w:hint="eastAsia"/>
              <w:b/>
              <w:sz w:val="24"/>
              <w:szCs w:val="24"/>
            </w:rPr>
            <w:t>、调整产业结构</w:t>
          </w:r>
          <w:r>
            <w:rPr>
              <w:b/>
              <w:sz w:val="24"/>
              <w:szCs w:val="24"/>
            </w:rPr>
            <w:tab/>
          </w:r>
          <w:r>
            <w:rPr>
              <w:b/>
              <w:sz w:val="24"/>
              <w:szCs w:val="24"/>
            </w:rPr>
            <w:fldChar w:fldCharType="begin"/>
          </w:r>
          <w:r>
            <w:rPr>
              <w:b/>
              <w:sz w:val="24"/>
              <w:szCs w:val="24"/>
            </w:rPr>
            <w:instrText xml:space="preserve"> PAGEREF _Toc487012049 \h </w:instrText>
          </w:r>
          <w:r>
            <w:rPr>
              <w:b/>
              <w:sz w:val="24"/>
              <w:szCs w:val="24"/>
            </w:rPr>
            <w:fldChar w:fldCharType="separate"/>
          </w:r>
          <w:r>
            <w:rPr>
              <w:b/>
              <w:sz w:val="24"/>
              <w:szCs w:val="24"/>
            </w:rPr>
            <w:t>10</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"_Toc487012050" </w:instrText>
          </w:r>
          <w:r>
            <w:fldChar w:fldCharType="separate"/>
          </w:r>
          <w:r>
            <w:rPr>
              <w:rStyle w:val="31"/>
              <w:b/>
              <w:sz w:val="24"/>
              <w:szCs w:val="24"/>
            </w:rPr>
            <w:t>2</w:t>
          </w:r>
          <w:r>
            <w:rPr>
              <w:rStyle w:val="31"/>
              <w:rFonts w:hint="eastAsia"/>
              <w:b/>
              <w:sz w:val="24"/>
              <w:szCs w:val="24"/>
            </w:rPr>
            <w:t>、保护生态空间</w:t>
          </w:r>
          <w:r>
            <w:rPr>
              <w:b/>
              <w:sz w:val="24"/>
              <w:szCs w:val="24"/>
            </w:rPr>
            <w:tab/>
          </w:r>
          <w:r>
            <w:rPr>
              <w:b/>
              <w:sz w:val="24"/>
              <w:szCs w:val="24"/>
            </w:rPr>
            <w:fldChar w:fldCharType="begin"/>
          </w:r>
          <w:r>
            <w:rPr>
              <w:b/>
              <w:sz w:val="24"/>
              <w:szCs w:val="24"/>
            </w:rPr>
            <w:instrText xml:space="preserve"> PAGEREF _Toc487012050 \h </w:instrText>
          </w:r>
          <w:r>
            <w:rPr>
              <w:b/>
              <w:sz w:val="24"/>
              <w:szCs w:val="24"/>
            </w:rPr>
            <w:fldChar w:fldCharType="separate"/>
          </w:r>
          <w:r>
            <w:rPr>
              <w:b/>
              <w:sz w:val="24"/>
              <w:szCs w:val="24"/>
            </w:rPr>
            <w:t>10</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"_Toc487012051" </w:instrText>
          </w:r>
          <w:r>
            <w:fldChar w:fldCharType="separate"/>
          </w:r>
          <w:r>
            <w:rPr>
              <w:rStyle w:val="31"/>
              <w:b/>
              <w:sz w:val="24"/>
              <w:szCs w:val="24"/>
            </w:rPr>
            <w:t>3</w:t>
          </w:r>
          <w:r>
            <w:rPr>
              <w:rStyle w:val="31"/>
              <w:rFonts w:hint="eastAsia"/>
              <w:b/>
              <w:sz w:val="24"/>
              <w:szCs w:val="24"/>
            </w:rPr>
            <w:t>、发展绿色产业和循环经济</w:t>
          </w:r>
          <w:r>
            <w:rPr>
              <w:b/>
              <w:sz w:val="24"/>
              <w:szCs w:val="24"/>
            </w:rPr>
            <w:tab/>
          </w:r>
          <w:r>
            <w:rPr>
              <w:b/>
              <w:sz w:val="24"/>
              <w:szCs w:val="24"/>
            </w:rPr>
            <w:fldChar w:fldCharType="begin"/>
          </w:r>
          <w:r>
            <w:rPr>
              <w:b/>
              <w:sz w:val="24"/>
              <w:szCs w:val="24"/>
            </w:rPr>
            <w:instrText xml:space="preserve"> PAGEREF _Toc487012051 \h </w:instrText>
          </w:r>
          <w:r>
            <w:rPr>
              <w:b/>
              <w:sz w:val="24"/>
              <w:szCs w:val="24"/>
            </w:rPr>
            <w:fldChar w:fldCharType="separate"/>
          </w:r>
          <w:r>
            <w:rPr>
              <w:b/>
              <w:sz w:val="24"/>
              <w:szCs w:val="24"/>
            </w:rPr>
            <w:t>11</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"_Toc487012052" </w:instrText>
          </w:r>
          <w:r>
            <w:fldChar w:fldCharType="separate"/>
          </w:r>
          <w:r>
            <w:rPr>
              <w:rStyle w:val="31"/>
              <w:rFonts w:hint="eastAsia" w:ascii="楷体_GB2312" w:hAnsi="楷体_GB2312" w:eastAsia="楷体_GB2312"/>
              <w:b/>
              <w:sz w:val="24"/>
              <w:szCs w:val="24"/>
            </w:rPr>
            <w:t>（五）节约保护水资源，积极推进节水减排</w:t>
          </w:r>
          <w:r>
            <w:rPr>
              <w:b/>
              <w:sz w:val="24"/>
              <w:szCs w:val="24"/>
            </w:rPr>
            <w:tab/>
          </w:r>
          <w:r>
            <w:rPr>
              <w:b/>
              <w:sz w:val="24"/>
              <w:szCs w:val="24"/>
            </w:rPr>
            <w:fldChar w:fldCharType="begin"/>
          </w:r>
          <w:r>
            <w:rPr>
              <w:b/>
              <w:sz w:val="24"/>
              <w:szCs w:val="24"/>
            </w:rPr>
            <w:instrText xml:space="preserve"> PAGEREF _Toc487012052 \h </w:instrText>
          </w:r>
          <w:r>
            <w:rPr>
              <w:b/>
              <w:sz w:val="24"/>
              <w:szCs w:val="24"/>
            </w:rPr>
            <w:fldChar w:fldCharType="separate"/>
          </w:r>
          <w:r>
            <w:rPr>
              <w:b/>
              <w:sz w:val="24"/>
              <w:szCs w:val="24"/>
            </w:rPr>
            <w:t>11</w:t>
          </w:r>
          <w:r>
            <w:rPr>
              <w:b/>
              <w:sz w:val="24"/>
              <w:szCs w:val="24"/>
            </w:rPr>
            <w:fldChar w:fldCharType="end"/>
          </w:r>
          <w:r>
            <w:rPr>
              <w:b/>
              <w:sz w:val="24"/>
              <w:szCs w:val="24"/>
            </w:rPr>
            <w:fldChar w:fldCharType="end"/>
          </w:r>
        </w:p>
        <w:p>
          <w:pPr>
            <w:pStyle w:val="16"/>
            <w:tabs>
              <w:tab w:val="right" w:leader="dot" w:pos="8835"/>
            </w:tabs>
            <w:spacing w:line="276" w:lineRule="auto"/>
            <w:rPr>
              <w:rFonts w:asciiTheme="minorHAnsi" w:hAnsiTheme="minorHAnsi" w:eastAsiaTheme="minorEastAsia" w:cstheme="minorBidi"/>
              <w:b/>
              <w:kern w:val="2"/>
              <w:sz w:val="24"/>
              <w:szCs w:val="24"/>
            </w:rPr>
          </w:pPr>
          <w:r>
            <w:fldChar w:fldCharType="begin"/>
          </w:r>
          <w:r>
            <w:instrText xml:space="preserve"> HYPERLINK \l "_Toc487012053" </w:instrText>
          </w:r>
          <w:r>
            <w:fldChar w:fldCharType="separate"/>
          </w:r>
          <w:r>
            <w:rPr>
              <w:rStyle w:val="31"/>
              <w:rFonts w:hint="eastAsia" w:ascii="黑体" w:hAnsi="黑体" w:eastAsia="黑体"/>
              <w:b/>
              <w:sz w:val="24"/>
              <w:szCs w:val="24"/>
            </w:rPr>
            <w:t>四、重点工程和投资匡算</w:t>
          </w:r>
          <w:r>
            <w:rPr>
              <w:b/>
              <w:sz w:val="24"/>
              <w:szCs w:val="24"/>
            </w:rPr>
            <w:tab/>
          </w:r>
          <w:r>
            <w:rPr>
              <w:b/>
              <w:sz w:val="24"/>
              <w:szCs w:val="24"/>
            </w:rPr>
            <w:fldChar w:fldCharType="begin"/>
          </w:r>
          <w:r>
            <w:rPr>
              <w:b/>
              <w:sz w:val="24"/>
              <w:szCs w:val="24"/>
            </w:rPr>
            <w:instrText xml:space="preserve"> PAGEREF _Toc487012053 \h </w:instrText>
          </w:r>
          <w:r>
            <w:rPr>
              <w:b/>
              <w:sz w:val="24"/>
              <w:szCs w:val="24"/>
            </w:rPr>
            <w:fldChar w:fldCharType="separate"/>
          </w:r>
          <w:r>
            <w:rPr>
              <w:b/>
              <w:sz w:val="24"/>
              <w:szCs w:val="24"/>
            </w:rPr>
            <w:t>12</w:t>
          </w:r>
          <w:r>
            <w:rPr>
              <w:b/>
              <w:sz w:val="24"/>
              <w:szCs w:val="24"/>
            </w:rPr>
            <w:fldChar w:fldCharType="end"/>
          </w:r>
          <w:r>
            <w:rPr>
              <w:b/>
              <w:sz w:val="24"/>
              <w:szCs w:val="24"/>
            </w:rPr>
            <w:fldChar w:fldCharType="end"/>
          </w:r>
        </w:p>
        <w:p>
          <w:pPr>
            <w:pStyle w:val="16"/>
            <w:tabs>
              <w:tab w:val="right" w:leader="dot" w:pos="8835"/>
            </w:tabs>
            <w:spacing w:line="276" w:lineRule="auto"/>
            <w:rPr>
              <w:rFonts w:asciiTheme="minorHAnsi" w:hAnsiTheme="minorHAnsi" w:eastAsiaTheme="minorEastAsia" w:cstheme="minorBidi"/>
              <w:b/>
              <w:kern w:val="2"/>
              <w:sz w:val="24"/>
              <w:szCs w:val="24"/>
            </w:rPr>
          </w:pPr>
          <w:r>
            <w:fldChar w:fldCharType="begin"/>
          </w:r>
          <w:r>
            <w:instrText xml:space="preserve"> HYPERLINK \l "_Toc487012054" </w:instrText>
          </w:r>
          <w:r>
            <w:fldChar w:fldCharType="separate"/>
          </w:r>
          <w:r>
            <w:rPr>
              <w:rStyle w:val="31"/>
              <w:rFonts w:hint="eastAsia" w:ascii="黑体" w:hAnsi="黑体" w:eastAsia="黑体"/>
              <w:b/>
              <w:sz w:val="24"/>
              <w:szCs w:val="24"/>
            </w:rPr>
            <w:t>五、保障措施</w:t>
          </w:r>
          <w:r>
            <w:rPr>
              <w:b/>
              <w:sz w:val="24"/>
              <w:szCs w:val="24"/>
            </w:rPr>
            <w:tab/>
          </w:r>
          <w:r>
            <w:rPr>
              <w:b/>
              <w:sz w:val="24"/>
              <w:szCs w:val="24"/>
            </w:rPr>
            <w:fldChar w:fldCharType="begin"/>
          </w:r>
          <w:r>
            <w:rPr>
              <w:b/>
              <w:sz w:val="24"/>
              <w:szCs w:val="24"/>
            </w:rPr>
            <w:instrText xml:space="preserve"> PAGEREF _Toc487012054 \h </w:instrText>
          </w:r>
          <w:r>
            <w:rPr>
              <w:b/>
              <w:sz w:val="24"/>
              <w:szCs w:val="24"/>
            </w:rPr>
            <w:fldChar w:fldCharType="separate"/>
          </w:r>
          <w:r>
            <w:rPr>
              <w:b/>
              <w:sz w:val="24"/>
              <w:szCs w:val="24"/>
            </w:rPr>
            <w:t>13</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"_Toc487012055" </w:instrText>
          </w:r>
          <w:r>
            <w:fldChar w:fldCharType="separate"/>
          </w:r>
          <w:r>
            <w:rPr>
              <w:rStyle w:val="31"/>
              <w:rFonts w:hint="eastAsia" w:ascii="楷体_GB2312" w:hAnsi="楷体_GB2312" w:eastAsia="楷体_GB2312"/>
              <w:b/>
              <w:sz w:val="24"/>
              <w:szCs w:val="24"/>
            </w:rPr>
            <w:t>（一）落实各方责任</w:t>
          </w:r>
          <w:r>
            <w:rPr>
              <w:b/>
              <w:sz w:val="24"/>
              <w:szCs w:val="24"/>
            </w:rPr>
            <w:tab/>
          </w:r>
          <w:r>
            <w:rPr>
              <w:b/>
              <w:sz w:val="24"/>
              <w:szCs w:val="24"/>
            </w:rPr>
            <w:fldChar w:fldCharType="begin"/>
          </w:r>
          <w:r>
            <w:rPr>
              <w:b/>
              <w:sz w:val="24"/>
              <w:szCs w:val="24"/>
            </w:rPr>
            <w:instrText xml:space="preserve"> PAGEREF _Toc487012055 \h </w:instrText>
          </w:r>
          <w:r>
            <w:rPr>
              <w:b/>
              <w:sz w:val="24"/>
              <w:szCs w:val="24"/>
            </w:rPr>
            <w:fldChar w:fldCharType="separate"/>
          </w:r>
          <w:r>
            <w:rPr>
              <w:b/>
              <w:sz w:val="24"/>
              <w:szCs w:val="24"/>
            </w:rPr>
            <w:t>13</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"_Toc487012056" </w:instrText>
          </w:r>
          <w:r>
            <w:fldChar w:fldCharType="separate"/>
          </w:r>
          <w:r>
            <w:rPr>
              <w:rStyle w:val="31"/>
              <w:rFonts w:hint="eastAsia" w:ascii="楷体_GB2312" w:hAnsi="楷体_GB2312" w:eastAsia="楷体_GB2312"/>
              <w:b/>
              <w:sz w:val="24"/>
              <w:szCs w:val="24"/>
            </w:rPr>
            <w:t>（二）强化责任考核</w:t>
          </w:r>
          <w:r>
            <w:rPr>
              <w:b/>
              <w:sz w:val="24"/>
              <w:szCs w:val="24"/>
            </w:rPr>
            <w:tab/>
          </w:r>
          <w:r>
            <w:rPr>
              <w:b/>
              <w:sz w:val="24"/>
              <w:szCs w:val="24"/>
            </w:rPr>
            <w:fldChar w:fldCharType="begin"/>
          </w:r>
          <w:r>
            <w:rPr>
              <w:b/>
              <w:sz w:val="24"/>
              <w:szCs w:val="24"/>
            </w:rPr>
            <w:instrText xml:space="preserve"> PAGEREF _Toc487012056 \h </w:instrText>
          </w:r>
          <w:r>
            <w:rPr>
              <w:b/>
              <w:sz w:val="24"/>
              <w:szCs w:val="24"/>
            </w:rPr>
            <w:fldChar w:fldCharType="separate"/>
          </w:r>
          <w:r>
            <w:rPr>
              <w:b/>
              <w:sz w:val="24"/>
              <w:szCs w:val="24"/>
            </w:rPr>
            <w:t>14</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"_Toc487012057" </w:instrText>
          </w:r>
          <w:r>
            <w:fldChar w:fldCharType="separate"/>
          </w:r>
          <w:r>
            <w:rPr>
              <w:rStyle w:val="31"/>
              <w:rFonts w:hint="eastAsia" w:ascii="楷体_GB2312" w:hAnsi="楷体_GB2312" w:eastAsia="楷体_GB2312"/>
              <w:b/>
              <w:sz w:val="24"/>
              <w:szCs w:val="24"/>
            </w:rPr>
            <w:t>（三）加大资金投入</w:t>
          </w:r>
          <w:r>
            <w:rPr>
              <w:b/>
              <w:sz w:val="24"/>
              <w:szCs w:val="24"/>
            </w:rPr>
            <w:tab/>
          </w:r>
          <w:r>
            <w:rPr>
              <w:b/>
              <w:sz w:val="24"/>
              <w:szCs w:val="24"/>
            </w:rPr>
            <w:fldChar w:fldCharType="begin"/>
          </w:r>
          <w:r>
            <w:rPr>
              <w:b/>
              <w:sz w:val="24"/>
              <w:szCs w:val="24"/>
            </w:rPr>
            <w:instrText xml:space="preserve"> PAGEREF _Toc487012057 \h </w:instrText>
          </w:r>
          <w:r>
            <w:rPr>
              <w:b/>
              <w:sz w:val="24"/>
              <w:szCs w:val="24"/>
            </w:rPr>
            <w:fldChar w:fldCharType="separate"/>
          </w:r>
          <w:r>
            <w:rPr>
              <w:b/>
              <w:sz w:val="24"/>
              <w:szCs w:val="24"/>
            </w:rPr>
            <w:t>14</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"_Toc487012058" </w:instrText>
          </w:r>
          <w:r>
            <w:fldChar w:fldCharType="separate"/>
          </w:r>
          <w:r>
            <w:rPr>
              <w:rStyle w:val="31"/>
              <w:rFonts w:hint="eastAsia" w:ascii="楷体_GB2312" w:hAnsi="楷体_GB2312" w:eastAsia="楷体_GB2312"/>
              <w:b/>
              <w:sz w:val="24"/>
              <w:szCs w:val="24"/>
            </w:rPr>
            <w:t>（四）宣扬环境文化</w:t>
          </w:r>
          <w:r>
            <w:rPr>
              <w:b/>
              <w:sz w:val="24"/>
              <w:szCs w:val="24"/>
            </w:rPr>
            <w:tab/>
          </w:r>
          <w:r>
            <w:rPr>
              <w:b/>
              <w:sz w:val="24"/>
              <w:szCs w:val="24"/>
            </w:rPr>
            <w:fldChar w:fldCharType="begin"/>
          </w:r>
          <w:r>
            <w:rPr>
              <w:b/>
              <w:sz w:val="24"/>
              <w:szCs w:val="24"/>
            </w:rPr>
            <w:instrText xml:space="preserve"> PAGEREF _Toc487012058 \h </w:instrText>
          </w:r>
          <w:r>
            <w:rPr>
              <w:b/>
              <w:sz w:val="24"/>
              <w:szCs w:val="24"/>
            </w:rPr>
            <w:fldChar w:fldCharType="separate"/>
          </w:r>
          <w:r>
            <w:rPr>
              <w:b/>
              <w:sz w:val="24"/>
              <w:szCs w:val="24"/>
            </w:rPr>
            <w:t>15</w:t>
          </w:r>
          <w:r>
            <w:rPr>
              <w:b/>
              <w:sz w:val="24"/>
              <w:szCs w:val="24"/>
            </w:rPr>
            <w:fldChar w:fldCharType="end"/>
          </w:r>
          <w:r>
            <w:rPr>
              <w:b/>
              <w:sz w:val="24"/>
              <w:szCs w:val="24"/>
            </w:rPr>
            <w:fldChar w:fldCharType="end"/>
          </w:r>
        </w:p>
        <w:p>
          <w:pPr>
            <w:pStyle w:val="20"/>
            <w:tabs>
              <w:tab w:val="right" w:leader="dot" w:pos="8835"/>
            </w:tabs>
            <w:spacing w:line="276" w:lineRule="auto"/>
            <w:ind w:left="632"/>
            <w:rPr>
              <w:rFonts w:asciiTheme="minorHAnsi" w:hAnsiTheme="minorHAnsi" w:eastAsiaTheme="minorEastAsia" w:cstheme="minorBidi"/>
              <w:b/>
              <w:kern w:val="2"/>
              <w:sz w:val="24"/>
              <w:szCs w:val="24"/>
            </w:rPr>
          </w:pPr>
          <w:r>
            <w:fldChar w:fldCharType="begin"/>
          </w:r>
          <w:r>
            <w:instrText xml:space="preserve"> HYPERLINK \l "_Toc487012059" </w:instrText>
          </w:r>
          <w:r>
            <w:fldChar w:fldCharType="separate"/>
          </w:r>
          <w:r>
            <w:rPr>
              <w:rStyle w:val="31"/>
              <w:rFonts w:hint="eastAsia" w:ascii="楷体_GB2312" w:hAnsi="楷体_GB2312" w:eastAsia="楷体_GB2312"/>
              <w:b/>
              <w:sz w:val="24"/>
              <w:szCs w:val="24"/>
            </w:rPr>
            <w:t>（五）推动全民参与</w:t>
          </w:r>
          <w:r>
            <w:rPr>
              <w:b/>
              <w:sz w:val="24"/>
              <w:szCs w:val="24"/>
            </w:rPr>
            <w:tab/>
          </w:r>
          <w:r>
            <w:rPr>
              <w:b/>
              <w:sz w:val="24"/>
              <w:szCs w:val="24"/>
            </w:rPr>
            <w:fldChar w:fldCharType="begin"/>
          </w:r>
          <w:r>
            <w:rPr>
              <w:b/>
              <w:sz w:val="24"/>
              <w:szCs w:val="24"/>
            </w:rPr>
            <w:instrText xml:space="preserve"> PAGEREF _Toc487012059 \h </w:instrText>
          </w:r>
          <w:r>
            <w:rPr>
              <w:b/>
              <w:sz w:val="24"/>
              <w:szCs w:val="24"/>
            </w:rPr>
            <w:fldChar w:fldCharType="separate"/>
          </w:r>
          <w:r>
            <w:rPr>
              <w:b/>
              <w:sz w:val="24"/>
              <w:szCs w:val="24"/>
            </w:rPr>
            <w:t>15</w:t>
          </w:r>
          <w:r>
            <w:rPr>
              <w:b/>
              <w:sz w:val="24"/>
              <w:szCs w:val="24"/>
            </w:rPr>
            <w:fldChar w:fldCharType="end"/>
          </w:r>
          <w:r>
            <w:rPr>
              <w:b/>
              <w:sz w:val="24"/>
              <w:szCs w:val="24"/>
            </w:rPr>
            <w:fldChar w:fldCharType="end"/>
          </w:r>
        </w:p>
        <w:p>
          <w:pPr>
            <w:pStyle w:val="16"/>
            <w:tabs>
              <w:tab w:val="right" w:leader="dot" w:pos="8835"/>
            </w:tabs>
            <w:spacing w:line="276" w:lineRule="auto"/>
            <w:rPr>
              <w:rFonts w:asciiTheme="minorHAnsi" w:hAnsiTheme="minorHAnsi" w:eastAsiaTheme="minorEastAsia" w:cstheme="minorBidi"/>
              <w:b/>
              <w:kern w:val="2"/>
              <w:sz w:val="24"/>
              <w:szCs w:val="24"/>
            </w:rPr>
          </w:pPr>
          <w:r>
            <w:fldChar w:fldCharType="begin"/>
          </w:r>
          <w:r>
            <w:instrText xml:space="preserve"> HYPERLINK \l "_Toc487012060" </w:instrText>
          </w:r>
          <w:r>
            <w:fldChar w:fldCharType="separate"/>
          </w:r>
          <w:r>
            <w:rPr>
              <w:rStyle w:val="31"/>
              <w:rFonts w:hint="eastAsia" w:ascii="黑体" w:hAnsi="黑体" w:eastAsia="黑体"/>
              <w:b/>
              <w:sz w:val="24"/>
              <w:szCs w:val="24"/>
            </w:rPr>
            <w:t>附表</w:t>
          </w:r>
          <w:r>
            <w:rPr>
              <w:b/>
              <w:sz w:val="24"/>
              <w:szCs w:val="24"/>
            </w:rPr>
            <w:tab/>
          </w:r>
          <w:r>
            <w:rPr>
              <w:b/>
              <w:sz w:val="24"/>
              <w:szCs w:val="24"/>
            </w:rPr>
            <w:fldChar w:fldCharType="begin"/>
          </w:r>
          <w:r>
            <w:rPr>
              <w:b/>
              <w:sz w:val="24"/>
              <w:szCs w:val="24"/>
            </w:rPr>
            <w:instrText xml:space="preserve"> PAGEREF _Toc487012060 \h </w:instrText>
          </w:r>
          <w:r>
            <w:rPr>
              <w:b/>
              <w:sz w:val="24"/>
              <w:szCs w:val="24"/>
            </w:rPr>
            <w:fldChar w:fldCharType="separate"/>
          </w:r>
          <w:r>
            <w:rPr>
              <w:b/>
              <w:sz w:val="24"/>
              <w:szCs w:val="24"/>
            </w:rPr>
            <w:t>17</w:t>
          </w:r>
          <w:r>
            <w:rPr>
              <w:b/>
              <w:sz w:val="24"/>
              <w:szCs w:val="24"/>
            </w:rPr>
            <w:fldChar w:fldCharType="end"/>
          </w:r>
          <w:r>
            <w:rPr>
              <w:b/>
              <w:sz w:val="24"/>
              <w:szCs w:val="24"/>
            </w:rPr>
            <w:fldChar w:fldCharType="end"/>
          </w:r>
        </w:p>
        <w:p>
          <w:pPr>
            <w:pStyle w:val="16"/>
            <w:tabs>
              <w:tab w:val="right" w:leader="dot" w:pos="8835"/>
            </w:tabs>
            <w:spacing w:line="276" w:lineRule="auto"/>
            <w:rPr>
              <w:rFonts w:asciiTheme="minorHAnsi" w:hAnsiTheme="minorHAnsi" w:eastAsiaTheme="minorEastAsia" w:cstheme="minorBidi"/>
              <w:b/>
              <w:kern w:val="2"/>
              <w:sz w:val="24"/>
              <w:szCs w:val="24"/>
            </w:rPr>
          </w:pPr>
          <w:r>
            <w:fldChar w:fldCharType="begin"/>
          </w:r>
          <w:r>
            <w:instrText xml:space="preserve"> HYPERLINK \l "_Toc487012061" </w:instrText>
          </w:r>
          <w:r>
            <w:fldChar w:fldCharType="separate"/>
          </w:r>
          <w:r>
            <w:rPr>
              <w:rStyle w:val="31"/>
              <w:rFonts w:hint="eastAsia" w:ascii="黑体" w:hAnsi="黑体" w:eastAsia="黑体"/>
              <w:b/>
              <w:sz w:val="24"/>
              <w:szCs w:val="24"/>
            </w:rPr>
            <w:t>附图</w:t>
          </w:r>
          <w:r>
            <w:rPr>
              <w:b/>
              <w:sz w:val="24"/>
              <w:szCs w:val="24"/>
            </w:rPr>
            <w:tab/>
          </w:r>
          <w:r>
            <w:rPr>
              <w:b/>
              <w:sz w:val="24"/>
              <w:szCs w:val="24"/>
            </w:rPr>
            <w:fldChar w:fldCharType="begin"/>
          </w:r>
          <w:r>
            <w:rPr>
              <w:b/>
              <w:sz w:val="24"/>
              <w:szCs w:val="24"/>
            </w:rPr>
            <w:instrText xml:space="preserve"> PAGEREF _Toc487012061 \h </w:instrText>
          </w:r>
          <w:r>
            <w:rPr>
              <w:b/>
              <w:sz w:val="24"/>
              <w:szCs w:val="24"/>
            </w:rPr>
            <w:fldChar w:fldCharType="separate"/>
          </w:r>
          <w:r>
            <w:rPr>
              <w:b/>
              <w:sz w:val="24"/>
              <w:szCs w:val="24"/>
            </w:rPr>
            <w:t>23</w:t>
          </w:r>
          <w:r>
            <w:rPr>
              <w:b/>
              <w:sz w:val="24"/>
              <w:szCs w:val="24"/>
            </w:rPr>
            <w:fldChar w:fldCharType="end"/>
          </w:r>
          <w:r>
            <w:rPr>
              <w:b/>
              <w:sz w:val="24"/>
              <w:szCs w:val="24"/>
            </w:rPr>
            <w:fldChar w:fldCharType="end"/>
          </w:r>
        </w:p>
        <w:p>
          <w:pPr>
            <w:spacing w:line="276" w:lineRule="auto"/>
          </w:pPr>
          <w:r>
            <w:rPr>
              <w:b/>
              <w:bCs/>
              <w:sz w:val="24"/>
              <w:szCs w:val="24"/>
              <w:lang w:val="zh-CN"/>
            </w:rPr>
            <w:fldChar w:fldCharType="end"/>
          </w:r>
        </w:p>
      </w:sdtContent>
    </w:sdt>
    <w:p>
      <w:pPr>
        <w:pStyle w:val="16"/>
        <w:tabs>
          <w:tab w:val="right" w:leader="dot" w:pos="8835"/>
        </w:tabs>
        <w:rPr>
          <w:rFonts w:ascii="楷体" w:hAnsi="楷体" w:eastAsia="楷体"/>
          <w:b/>
          <w:sz w:val="24"/>
          <w:szCs w:val="24"/>
        </w:rPr>
      </w:pPr>
    </w:p>
    <w:p>
      <w:pPr>
        <w:tabs>
          <w:tab w:val="right" w:leader="dot" w:pos="8789"/>
        </w:tabs>
        <w:rPr>
          <w:rFonts w:ascii="仿宋_GB2312" w:hAnsi="仿宋_GB2312"/>
          <w:sz w:val="28"/>
          <w:szCs w:val="28"/>
        </w:rPr>
      </w:pPr>
    </w:p>
    <w:p>
      <w:pPr>
        <w:rPr>
          <w:rFonts w:ascii="仿宋_GB2312" w:hAnsi="仿宋_GB2312"/>
          <w:sz w:val="28"/>
          <w:szCs w:val="28"/>
        </w:rPr>
        <w:sectPr>
          <w:footerReference r:id="rId5" w:type="default"/>
          <w:pgSz w:w="11906" w:h="16838"/>
          <w:pgMar w:top="2097" w:right="1474" w:bottom="1984" w:left="1587" w:header="851" w:footer="1559" w:gutter="0"/>
          <w:pgNumType w:fmt="upperRoman" w:start="1"/>
          <w:cols w:space="720" w:num="1"/>
          <w:docGrid w:type="linesAndChars" w:linePitch="579" w:charSpace="-842"/>
        </w:sectPr>
      </w:pPr>
    </w:p>
    <w:p>
      <w:pPr>
        <w:spacing w:line="560" w:lineRule="exact"/>
        <w:ind w:firstLine="632" w:firstLineChars="200"/>
        <w:jc w:val="left"/>
        <w:rPr>
          <w:szCs w:val="32"/>
        </w:rPr>
      </w:pPr>
      <w:r>
        <w:rPr>
          <w:rFonts w:hint="eastAsia"/>
        </w:rPr>
        <w:t>《环境保护法》规定，未达到国家环境质量标准的重点区域、流域的有关地方人民政府，应当制定限期达标规划，并采取措施按期达标。《水污染防治行动计划》（以下简称《水十条》）</w:t>
      </w:r>
      <w:r>
        <w:rPr>
          <w:rFonts w:hint="eastAsia"/>
          <w:szCs w:val="32"/>
        </w:rPr>
        <w:t>和《广东省水污染防治行动计划实施方案》（以下简称《粤十条》）</w:t>
      </w:r>
      <w:r>
        <w:rPr>
          <w:rFonts w:hint="eastAsia"/>
        </w:rPr>
        <w:t>要求，未达到水质目标要求的地区要制定达标方案，将治污任务逐一落实到汇水范围内的排污单位，明确防治措施及达标时限。《关于转发环境保护部办公厅关于强化水体达标方案编制实施工作的通知》（粤环函〔2016〕717号）指出，</w:t>
      </w:r>
      <w:r>
        <w:rPr>
          <w:rFonts w:hint="eastAsia"/>
          <w:szCs w:val="32"/>
        </w:rPr>
        <w:t xml:space="preserve">我省需编制水污染防治方案和水体达标方案的水体包括环保部受国务院委托与省政府签订的《广东省水污染防治目标责任书》中的未达标水体（含入海河流）。 </w:t>
      </w:r>
    </w:p>
    <w:p>
      <w:pPr>
        <w:spacing w:line="560" w:lineRule="exact"/>
        <w:ind w:firstLine="632" w:firstLineChars="200"/>
        <w:jc w:val="left"/>
        <w:rPr>
          <w:szCs w:val="32"/>
        </w:rPr>
      </w:pPr>
      <w:r>
        <w:rPr>
          <w:rFonts w:hint="eastAsia"/>
        </w:rPr>
        <w:t>为深入贯彻落实《环境保护法》、《水十条》、</w:t>
      </w:r>
      <w:r>
        <w:rPr>
          <w:rFonts w:hint="eastAsia"/>
          <w:szCs w:val="32"/>
        </w:rPr>
        <w:t>《粤十条》和</w:t>
      </w:r>
      <w:r>
        <w:rPr>
          <w:rFonts w:hint="eastAsia"/>
        </w:rPr>
        <w:t>粤环函〔2016〕717号文件，按广东省和中山市统一部署，切实推进入海河流</w:t>
      </w:r>
      <w:r>
        <w:rPr>
          <w:rFonts w:hint="eastAsia"/>
          <w:szCs w:val="32"/>
        </w:rPr>
        <w:t>未达标水体</w:t>
      </w:r>
      <w:r>
        <w:rPr>
          <w:rFonts w:hint="eastAsia"/>
        </w:rPr>
        <w:t>泮沙排洪渠水污染防治工作，整体改善和提升该河流的水生态环境质量</w:t>
      </w:r>
      <w:r>
        <w:rPr>
          <w:rFonts w:hint="eastAsia"/>
          <w:szCs w:val="32"/>
        </w:rPr>
        <w:t>，制定本达标方案。</w:t>
      </w:r>
    </w:p>
    <w:p>
      <w:pPr>
        <w:pStyle w:val="2"/>
        <w:spacing w:before="289" w:beforeLines="50" w:after="289" w:afterLines="50" w:line="240" w:lineRule="auto"/>
        <w:rPr>
          <w:rFonts w:ascii="黑体" w:hAnsi="黑体" w:eastAsia="黑体"/>
          <w:bCs w:val="0"/>
          <w:sz w:val="32"/>
          <w:szCs w:val="32"/>
        </w:rPr>
      </w:pPr>
      <w:bookmarkStart w:id="0" w:name="_Toc465882801"/>
      <w:bookmarkStart w:id="1" w:name="_Toc487012032"/>
      <w:r>
        <w:rPr>
          <w:rFonts w:hint="eastAsia" w:ascii="黑体" w:hAnsi="黑体" w:eastAsia="黑体"/>
          <w:bCs w:val="0"/>
          <w:sz w:val="32"/>
          <w:szCs w:val="32"/>
        </w:rPr>
        <w:t>一、总体要求</w:t>
      </w:r>
      <w:bookmarkEnd w:id="0"/>
      <w:bookmarkEnd w:id="1"/>
    </w:p>
    <w:p>
      <w:pPr>
        <w:pStyle w:val="3"/>
        <w:spacing w:before="289" w:beforeLines="50" w:after="289" w:afterLines="50" w:line="240" w:lineRule="auto"/>
        <w:rPr>
          <w:rFonts w:ascii="楷体_GB2312" w:hAnsi="楷体_GB2312" w:eastAsia="楷体_GB2312"/>
          <w:b w:val="0"/>
        </w:rPr>
      </w:pPr>
      <w:bookmarkStart w:id="2" w:name="_Toc465882802"/>
      <w:bookmarkStart w:id="3" w:name="_Toc487012033"/>
      <w:r>
        <w:rPr>
          <w:rFonts w:hint="eastAsia" w:ascii="楷体_GB2312" w:hAnsi="楷体_GB2312" w:eastAsia="楷体_GB2312"/>
          <w:b w:val="0"/>
        </w:rPr>
        <w:t>（一）指导思想</w:t>
      </w:r>
      <w:bookmarkEnd w:id="2"/>
      <w:bookmarkEnd w:id="3"/>
    </w:p>
    <w:p>
      <w:pPr>
        <w:ind w:firstLine="632" w:firstLineChars="200"/>
      </w:pPr>
      <w:r>
        <w:rPr>
          <w:rFonts w:hint="eastAsia"/>
        </w:rPr>
        <w:t>全面贯彻党的十八大和十八届三中、四中、五中全会精神，紧紧围绕“五位一体”</w:t>
      </w:r>
      <w:r>
        <w:rPr>
          <w:rFonts w:hint="eastAsia"/>
          <w:lang w:eastAsia="zh-CN"/>
        </w:rPr>
        <w:t>总体</w:t>
      </w:r>
      <w:bookmarkStart w:id="58" w:name="_GoBack"/>
      <w:bookmarkEnd w:id="58"/>
      <w:r>
        <w:rPr>
          <w:rFonts w:hint="eastAsia"/>
        </w:rPr>
        <w:t>布局和“四个全面”战略布局，牢固树立和贯彻落实创新、协调、绿色、开放、共享发展理念，牢牢把握“三个定位、两个率先”目标，全面践行“两山论”，把中山市入海河流泮沙排洪渠水环境整治作为一项政治任务和重要民生实事来抓，以改善水环境质量为核心，强化源头控制、水陆统筹、河海兼顾，对水环境实施分阶段科学治理，系统推进水污染防治、水生态保护和水资源管理，不断提高水环境治理系统化、科学化、法治化、精细化和信息化水平；落实政府治污法定责任，以实施调结构优布局、截污纳管控源减排、节水及水资源保护调度、生态环境综合治理和加强执法监管为主要手段，健全水污染整治长效机制，持续改善泮沙排洪渠水质，逐步恢复河流主要环境功能。</w:t>
      </w:r>
    </w:p>
    <w:p>
      <w:pPr>
        <w:pStyle w:val="3"/>
        <w:spacing w:before="289" w:beforeLines="50" w:after="289" w:afterLines="50" w:line="240" w:lineRule="auto"/>
        <w:rPr>
          <w:rFonts w:ascii="楷体_GB2312" w:hAnsi="楷体_GB2312" w:eastAsia="楷体_GB2312"/>
          <w:b w:val="0"/>
        </w:rPr>
      </w:pPr>
      <w:bookmarkStart w:id="4" w:name="_Toc487012034"/>
      <w:bookmarkStart w:id="5" w:name="_Toc465882803"/>
      <w:r>
        <w:rPr>
          <w:rFonts w:hint="eastAsia" w:ascii="楷体_GB2312" w:hAnsi="楷体_GB2312" w:eastAsia="楷体_GB2312"/>
          <w:b w:val="0"/>
        </w:rPr>
        <w:t>（二）主要原则</w:t>
      </w:r>
      <w:bookmarkEnd w:id="4"/>
      <w:bookmarkEnd w:id="5"/>
    </w:p>
    <w:p>
      <w:pPr>
        <w:ind w:firstLine="632" w:firstLineChars="200"/>
      </w:pPr>
      <w:r>
        <w:rPr>
          <w:rFonts w:hint="eastAsia"/>
          <w:b/>
        </w:rPr>
        <w:t>1．目标管理，系统施治。</w:t>
      </w:r>
      <w:r>
        <w:rPr>
          <w:rFonts w:hint="eastAsia"/>
        </w:rPr>
        <w:t>按照“只能更好、不能变坏”的要求，坚持水环境质量改善目标为导向，以水质达标倒逼任务措施，科学制定达标路线图和时间表。强化科学决策与系统施治，全面涵盖污染减排、环境承载力提升和水生态修复等措施。</w:t>
      </w:r>
    </w:p>
    <w:p>
      <w:pPr>
        <w:ind w:firstLine="632" w:firstLineChars="200"/>
        <w:rPr>
          <w:b/>
        </w:rPr>
      </w:pPr>
      <w:r>
        <w:rPr>
          <w:rFonts w:hint="eastAsia"/>
          <w:b/>
        </w:rPr>
        <w:t>2．统筹兼顾，突出重点。</w:t>
      </w:r>
      <w:r>
        <w:rPr>
          <w:rFonts w:hint="eastAsia"/>
        </w:rPr>
        <w:t>坚持问题导向，水陆统筹，充分考虑当地经济社会发展特征与水环境、水资源、水生态条件，抓住导致水质超标的主要因素和重点环节，与相关规划或方案有机衔接，系统梳理、整合提升，有针对性地提出整治对策和措施。</w:t>
      </w:r>
    </w:p>
    <w:p>
      <w:pPr>
        <w:ind w:firstLine="632" w:firstLineChars="200"/>
        <w:rPr>
          <w:b/>
        </w:rPr>
      </w:pPr>
      <w:r>
        <w:rPr>
          <w:rFonts w:hint="eastAsia"/>
          <w:b/>
        </w:rPr>
        <w:t>3．精细管理，责任落地。</w:t>
      </w:r>
      <w:r>
        <w:rPr>
          <w:rFonts w:hint="eastAsia"/>
        </w:rPr>
        <w:t>突出精细化管理要求，在时间尺度上覆盖水质达标的全过程，逐年分解目标任务，围绕年度目标制定详细实施计划；在空间尺度上将治污任务逐一落实到汇水范围内的地方各级人民政府和排污单位；在管理手段上，突出排污许可证的基础和核心地位，通过核发许可证并严格管理，实施企事业单位排污总量控制制度，控制和削减超标污染物排放，在推动工业企业率先全面达标排放的基础上，进一步加严排污许可限制，推动水质达标。</w:t>
      </w:r>
    </w:p>
    <w:p>
      <w:pPr>
        <w:ind w:firstLine="632" w:firstLineChars="200"/>
        <w:rPr>
          <w:szCs w:val="32"/>
        </w:rPr>
      </w:pPr>
      <w:r>
        <w:rPr>
          <w:rFonts w:hint="eastAsia"/>
          <w:b/>
        </w:rPr>
        <w:t>4．信息公开，全民行动。</w:t>
      </w:r>
      <w:r>
        <w:rPr>
          <w:rFonts w:hint="eastAsia"/>
        </w:rPr>
        <w:t>将公众参与作为重要环节，广泛听取社会公众对治理目标、任务措施的意见和建议，定期公布达标方案及实施进展情况，接受公众和社会监督，引导公众参与方案编制与达标整治行动。</w:t>
      </w:r>
    </w:p>
    <w:p>
      <w:pPr>
        <w:pStyle w:val="3"/>
        <w:spacing w:before="289" w:beforeLines="50" w:after="289" w:afterLines="50" w:line="240" w:lineRule="auto"/>
        <w:rPr>
          <w:rFonts w:ascii="楷体_GB2312" w:hAnsi="楷体_GB2312" w:eastAsia="楷体_GB2312"/>
          <w:b w:val="0"/>
        </w:rPr>
      </w:pPr>
      <w:bookmarkStart w:id="6" w:name="_Toc465882804"/>
      <w:bookmarkStart w:id="7" w:name="_Toc487012035"/>
      <w:r>
        <w:rPr>
          <w:rFonts w:hint="eastAsia" w:ascii="楷体_GB2312" w:hAnsi="楷体_GB2312" w:eastAsia="楷体_GB2312"/>
          <w:b w:val="0"/>
        </w:rPr>
        <w:t>（三）总体思路</w:t>
      </w:r>
      <w:bookmarkEnd w:id="6"/>
      <w:bookmarkEnd w:id="7"/>
    </w:p>
    <w:p>
      <w:pPr>
        <w:ind w:firstLine="632" w:firstLineChars="200"/>
        <w:rPr>
          <w:szCs w:val="32"/>
        </w:rPr>
      </w:pPr>
      <w:r>
        <w:rPr>
          <w:rFonts w:hint="eastAsia"/>
          <w:szCs w:val="32"/>
        </w:rPr>
        <w:t>以环境质量改善为核心，执行最严格的环境保护制度，以流域生态红线优化社会经济布局和生态空间格局，以环境效率蓝线引领生产生活方式转变和产业结构转型升级，以水质达标底线倒逼治理目标任务和重点工程建设，坚持“水系入手、截污为先、方式多样、综合治理”，从单纯治污向流域统筹开发与综合治理转变，从污水常规处理向深度处理与生态治理转变，从干管建设向支次管网全覆盖和雨污分流转变，全面控制污染物排放，切实保障河流生态基流，确保2020年水环境质量总体改善，营造水环境安全、水生态优美、水空间宜人的生态治水新格局，满足城市发展和市民对水环境更高层次的需求。</w:t>
      </w:r>
    </w:p>
    <w:p>
      <w:pPr>
        <w:pStyle w:val="3"/>
        <w:spacing w:before="289" w:beforeLines="50" w:after="289" w:afterLines="50" w:line="240" w:lineRule="auto"/>
        <w:rPr>
          <w:rFonts w:ascii="楷体_GB2312" w:hAnsi="楷体_GB2312" w:eastAsia="楷体_GB2312"/>
          <w:b w:val="0"/>
        </w:rPr>
      </w:pPr>
      <w:bookmarkStart w:id="8" w:name="_Toc465882805"/>
      <w:bookmarkStart w:id="9" w:name="_Toc487012036"/>
      <w:r>
        <w:rPr>
          <w:rFonts w:hint="eastAsia" w:ascii="楷体_GB2312" w:hAnsi="楷体_GB2312" w:eastAsia="楷体_GB2312"/>
          <w:b w:val="0"/>
        </w:rPr>
        <w:t>（四）整治范围与期限</w:t>
      </w:r>
      <w:bookmarkEnd w:id="8"/>
      <w:bookmarkEnd w:id="9"/>
    </w:p>
    <w:p>
      <w:pPr>
        <w:ind w:firstLine="632" w:firstLineChars="200"/>
      </w:pPr>
      <w:r>
        <w:rPr>
          <w:rFonts w:hint="eastAsia"/>
          <w:b/>
          <w:szCs w:val="32"/>
        </w:rPr>
        <w:t>整治</w:t>
      </w:r>
      <w:r>
        <w:rPr>
          <w:b/>
          <w:szCs w:val="32"/>
        </w:rPr>
        <w:t>范围</w:t>
      </w:r>
      <w:r>
        <w:rPr>
          <w:szCs w:val="32"/>
        </w:rPr>
        <w:t>：</w:t>
      </w:r>
      <w:r>
        <w:rPr>
          <w:rFonts w:hint="eastAsia"/>
        </w:rPr>
        <w:t>泮沙排洪渠在中山市的水系范围见附图1，河流总长6.6 km，位于中山市南朗镇</w:t>
      </w:r>
      <w:r>
        <w:rPr>
          <w:rFonts w:hint="eastAsia"/>
          <w:szCs w:val="32"/>
        </w:rPr>
        <w:t>，起点位于高速桥涵，终点位于出海口，流经行政村包括翠亨、白企、南朗、泮沙、崖口。</w:t>
      </w:r>
    </w:p>
    <w:p>
      <w:pPr>
        <w:ind w:firstLine="632" w:firstLineChars="200"/>
        <w:rPr>
          <w:szCs w:val="32"/>
        </w:rPr>
      </w:pPr>
      <w:r>
        <w:rPr>
          <w:rFonts w:hint="eastAsia"/>
          <w:b/>
          <w:szCs w:val="32"/>
        </w:rPr>
        <w:t>整治</w:t>
      </w:r>
      <w:r>
        <w:rPr>
          <w:b/>
          <w:szCs w:val="32"/>
        </w:rPr>
        <w:t>期限</w:t>
      </w:r>
      <w:r>
        <w:rPr>
          <w:szCs w:val="32"/>
        </w:rPr>
        <w:t>：</w:t>
      </w:r>
      <w:r>
        <w:rPr>
          <w:rFonts w:hint="eastAsia"/>
          <w:szCs w:val="32"/>
        </w:rPr>
        <w:t>基准年为201</w:t>
      </w:r>
      <w:r>
        <w:rPr>
          <w:szCs w:val="32"/>
        </w:rPr>
        <w:t>5</w:t>
      </w:r>
      <w:r>
        <w:rPr>
          <w:rFonts w:hint="eastAsia"/>
          <w:szCs w:val="32"/>
        </w:rPr>
        <w:t>年，并按201</w:t>
      </w:r>
      <w:r>
        <w:rPr>
          <w:szCs w:val="32"/>
        </w:rPr>
        <w:t>8</w:t>
      </w:r>
      <w:r>
        <w:rPr>
          <w:rFonts w:hint="eastAsia"/>
          <w:szCs w:val="32"/>
        </w:rPr>
        <w:t>年和2020年两个阶段列出重点整治任务</w:t>
      </w:r>
      <w:r>
        <w:rPr>
          <w:szCs w:val="32"/>
        </w:rPr>
        <w:t>。</w:t>
      </w:r>
    </w:p>
    <w:p>
      <w:pPr>
        <w:pStyle w:val="3"/>
        <w:spacing w:before="289" w:beforeLines="50" w:after="289" w:afterLines="50" w:line="240" w:lineRule="auto"/>
        <w:rPr>
          <w:rFonts w:ascii="楷体_GB2312" w:hAnsi="楷体_GB2312" w:eastAsia="楷体_GB2312"/>
          <w:b w:val="0"/>
        </w:rPr>
      </w:pPr>
      <w:bookmarkStart w:id="10" w:name="_Toc487012037"/>
      <w:bookmarkStart w:id="11" w:name="_Toc465882806"/>
      <w:r>
        <w:rPr>
          <w:rFonts w:hint="eastAsia" w:ascii="楷体_GB2312" w:hAnsi="楷体_GB2312" w:eastAsia="楷体_GB2312"/>
          <w:b w:val="0"/>
        </w:rPr>
        <w:t>（五）整治目标</w:t>
      </w:r>
      <w:bookmarkEnd w:id="10"/>
      <w:bookmarkEnd w:id="11"/>
    </w:p>
    <w:p>
      <w:pPr>
        <w:ind w:firstLine="474" w:firstLineChars="150"/>
        <w:rPr>
          <w:szCs w:val="32"/>
        </w:rPr>
      </w:pPr>
      <w:r>
        <w:rPr>
          <w:rFonts w:hint="eastAsia"/>
          <w:szCs w:val="32"/>
        </w:rPr>
        <w:t>（1）总体目标</w:t>
      </w:r>
    </w:p>
    <w:p>
      <w:pPr>
        <w:ind w:firstLine="474" w:firstLineChars="150"/>
        <w:rPr>
          <w:szCs w:val="32"/>
        </w:rPr>
      </w:pPr>
      <w:r>
        <w:rPr>
          <w:rFonts w:hint="eastAsia"/>
          <w:szCs w:val="32"/>
        </w:rPr>
        <w:t>到2020年，入海河流泮沙排洪渠消除劣于Ⅴ类的水体，</w:t>
      </w:r>
      <w:r>
        <w:rPr>
          <w:szCs w:val="32"/>
        </w:rPr>
        <w:t>泮沙桥断面达到</w:t>
      </w:r>
      <w:r>
        <w:rPr>
          <w:rFonts w:hint="eastAsia"/>
          <w:szCs w:val="32"/>
        </w:rPr>
        <w:t>Ⅳ类，水环境质量得到明显改善，水生态环境状况有所好转。</w:t>
      </w:r>
    </w:p>
    <w:p>
      <w:pPr>
        <w:ind w:firstLine="474" w:firstLineChars="150"/>
        <w:rPr>
          <w:szCs w:val="32"/>
        </w:rPr>
      </w:pPr>
      <w:r>
        <w:rPr>
          <w:rFonts w:hint="eastAsia"/>
          <w:szCs w:val="32"/>
        </w:rPr>
        <w:t>（2）主要指标</w:t>
      </w:r>
    </w:p>
    <w:p>
      <w:pPr>
        <w:ind w:firstLine="632" w:firstLineChars="200"/>
        <w:rPr>
          <w:rFonts w:hint="eastAsia"/>
          <w:szCs w:val="32"/>
          <w:shd w:val="clear"/>
        </w:rPr>
      </w:pPr>
      <w:r>
        <w:rPr>
          <w:rFonts w:hint="eastAsia"/>
          <w:szCs w:val="32"/>
        </w:rPr>
        <w:t>2018 年，泮沙排洪渠基本达到Ⅴ类；2020 年，泮沙排洪渠泮</w:t>
      </w:r>
      <w:r>
        <w:rPr>
          <w:szCs w:val="32"/>
        </w:rPr>
        <w:t>沙桥断面</w:t>
      </w:r>
      <w:r>
        <w:rPr>
          <w:rFonts w:hint="eastAsia"/>
          <w:szCs w:val="32"/>
        </w:rPr>
        <w:t>稳定达到Ⅳ类。</w:t>
      </w:r>
      <w:r>
        <w:rPr>
          <w:rFonts w:hint="eastAsia"/>
          <w:szCs w:val="32"/>
          <w:shd w:val="clear"/>
        </w:rPr>
        <w:t>2020 年底前，泮沙排洪渠集水范围内城镇生活污水收集处理率达95%。</w:t>
      </w:r>
    </w:p>
    <w:p>
      <w:pPr>
        <w:pStyle w:val="2"/>
        <w:spacing w:before="289" w:beforeLines="50" w:after="289" w:afterLines="50" w:line="240" w:lineRule="auto"/>
        <w:rPr>
          <w:rFonts w:ascii="黑体" w:hAnsi="黑体" w:eastAsia="黑体"/>
          <w:bCs w:val="0"/>
          <w:sz w:val="32"/>
          <w:szCs w:val="32"/>
        </w:rPr>
      </w:pPr>
      <w:bookmarkStart w:id="12" w:name="_Toc487012038"/>
      <w:bookmarkStart w:id="13" w:name="_Toc465882807"/>
      <w:r>
        <w:rPr>
          <w:rFonts w:hint="eastAsia" w:ascii="黑体" w:hAnsi="黑体" w:eastAsia="黑体"/>
          <w:bCs w:val="0"/>
          <w:sz w:val="32"/>
          <w:szCs w:val="32"/>
        </w:rPr>
        <w:t>二、流域存在的主要问题</w:t>
      </w:r>
      <w:bookmarkEnd w:id="12"/>
    </w:p>
    <w:p>
      <w:pPr>
        <w:ind w:firstLine="632" w:firstLineChars="200"/>
        <w:rPr>
          <w:bCs/>
          <w:szCs w:val="32"/>
        </w:rPr>
      </w:pPr>
      <w:r>
        <w:rPr>
          <w:rFonts w:hint="eastAsia"/>
          <w:szCs w:val="32"/>
        </w:rPr>
        <w:t>根据现场及常规监测水质结果，泮沙排洪渠的泮沙桥考核断面现状水质为劣Ⅴ类，超标因子主要为氨氮、总磷和粪大肠杆菌群，水体污染问题主要为生活源污染，</w:t>
      </w:r>
      <w:r>
        <w:rPr>
          <w:szCs w:val="32"/>
        </w:rPr>
        <w:t>并</w:t>
      </w:r>
      <w:r>
        <w:rPr>
          <w:rFonts w:hint="eastAsia"/>
          <w:szCs w:val="32"/>
        </w:rPr>
        <w:t>存在</w:t>
      </w:r>
      <w:r>
        <w:rPr>
          <w:szCs w:val="32"/>
        </w:rPr>
        <w:t>一定程度</w:t>
      </w:r>
      <w:r>
        <w:rPr>
          <w:rFonts w:hint="eastAsia"/>
          <w:szCs w:val="32"/>
        </w:rPr>
        <w:t>工</w:t>
      </w:r>
      <w:r>
        <w:rPr>
          <w:szCs w:val="32"/>
        </w:rPr>
        <w:t>业污染</w:t>
      </w:r>
      <w:r>
        <w:rPr>
          <w:rFonts w:hint="eastAsia"/>
          <w:szCs w:val="32"/>
        </w:rPr>
        <w:t>。结合</w:t>
      </w:r>
      <w:r>
        <w:rPr>
          <w:szCs w:val="32"/>
        </w:rPr>
        <w:t>流域社会经济和</w:t>
      </w:r>
      <w:r>
        <w:rPr>
          <w:rFonts w:hint="eastAsia"/>
          <w:szCs w:val="32"/>
        </w:rPr>
        <w:t>污染</w:t>
      </w:r>
      <w:r>
        <w:rPr>
          <w:szCs w:val="32"/>
        </w:rPr>
        <w:t>源现状，识别</w:t>
      </w:r>
      <w:r>
        <w:rPr>
          <w:rFonts w:hint="eastAsia"/>
          <w:szCs w:val="32"/>
        </w:rPr>
        <w:t>其</w:t>
      </w:r>
      <w:r>
        <w:rPr>
          <w:szCs w:val="32"/>
        </w:rPr>
        <w:t>存在的主要问题有：</w:t>
      </w:r>
    </w:p>
    <w:p>
      <w:pPr>
        <w:pStyle w:val="3"/>
        <w:spacing w:before="289" w:beforeLines="50" w:after="289" w:afterLines="50" w:line="240" w:lineRule="auto"/>
        <w:ind w:firstLine="634"/>
        <w:rPr>
          <w:rFonts w:ascii="楷体_GB2312" w:hAnsi="楷体_GB2312" w:eastAsia="楷体_GB2312"/>
        </w:rPr>
      </w:pPr>
      <w:bookmarkStart w:id="14" w:name="_Toc487012039"/>
      <w:r>
        <w:rPr>
          <w:rFonts w:hint="eastAsia" w:ascii="楷体_GB2312" w:hAnsi="楷体_GB2312" w:eastAsia="楷体_GB2312"/>
        </w:rPr>
        <w:t>（一）劳动密集型企业众多，生活污染源治理程度低</w:t>
      </w:r>
      <w:bookmarkEnd w:id="14"/>
    </w:p>
    <w:p>
      <w:pPr>
        <w:ind w:firstLine="632" w:firstLineChars="200"/>
        <w:rPr>
          <w:szCs w:val="32"/>
        </w:rPr>
      </w:pPr>
      <w:r>
        <w:rPr>
          <w:rFonts w:hint="eastAsia"/>
          <w:szCs w:val="32"/>
        </w:rPr>
        <w:t>泮沙排洪渠流域内劳动密集型企业众多，企业员工生活污水量大，造成流域生活污染负荷重，各类生活污染源占流域污染来源一半。但流域内绝大部分生活污水仍未经处理直排入河，污水处理系统建设进度有待加强。</w:t>
      </w:r>
    </w:p>
    <w:p>
      <w:pPr>
        <w:pStyle w:val="3"/>
        <w:spacing w:before="289" w:beforeLines="50" w:after="289" w:afterLines="50" w:line="240" w:lineRule="auto"/>
        <w:ind w:firstLine="634"/>
        <w:rPr>
          <w:rFonts w:ascii="楷体_GB2312" w:hAnsi="楷体_GB2312" w:eastAsia="楷体_GB2312"/>
        </w:rPr>
      </w:pPr>
      <w:bookmarkStart w:id="15" w:name="_Toc487012040"/>
      <w:r>
        <w:rPr>
          <w:rFonts w:hint="eastAsia" w:ascii="楷体_GB2312" w:hAnsi="楷体_GB2312" w:eastAsia="楷体_GB2312"/>
        </w:rPr>
        <w:t>（二）工业污水产生量大，工业污水排放监管未完善</w:t>
      </w:r>
      <w:bookmarkEnd w:id="15"/>
    </w:p>
    <w:p>
      <w:pPr>
        <w:ind w:firstLine="632" w:firstLineChars="200"/>
        <w:rPr>
          <w:szCs w:val="32"/>
        </w:rPr>
      </w:pPr>
      <w:r>
        <w:rPr>
          <w:rFonts w:hint="eastAsia"/>
          <w:szCs w:val="32"/>
        </w:rPr>
        <w:t>目前泮沙排洪渠流域内工业企业产生污染物量约占总量的</w:t>
      </w:r>
      <w:r>
        <w:rPr>
          <w:szCs w:val="32"/>
        </w:rPr>
        <w:t>30%</w:t>
      </w:r>
      <w:r>
        <w:rPr>
          <w:rFonts w:hint="eastAsia"/>
          <w:szCs w:val="32"/>
        </w:rPr>
        <w:t>，但是流域的工业企业污水处理及截污尚未完善，部分工业污水未达标即直排入河，工</w:t>
      </w:r>
      <w:r>
        <w:rPr>
          <w:szCs w:val="32"/>
        </w:rPr>
        <w:t>业污水</w:t>
      </w:r>
      <w:r>
        <w:rPr>
          <w:rFonts w:hint="eastAsia"/>
          <w:szCs w:val="32"/>
        </w:rPr>
        <w:t>处</w:t>
      </w:r>
      <w:r>
        <w:rPr>
          <w:szCs w:val="32"/>
        </w:rPr>
        <w:t>理及</w:t>
      </w:r>
      <w:r>
        <w:rPr>
          <w:rFonts w:hint="eastAsia"/>
          <w:szCs w:val="32"/>
        </w:rPr>
        <w:t>监管力度有待改善。同时根据环境统计显示，流域内大</w:t>
      </w:r>
      <w:r>
        <w:rPr>
          <w:szCs w:val="32"/>
        </w:rPr>
        <w:t>部分</w:t>
      </w:r>
      <w:r>
        <w:rPr>
          <w:rFonts w:hint="eastAsia"/>
          <w:szCs w:val="32"/>
        </w:rPr>
        <w:t>工业污水采用废水转移外运处理，对企业排污监管的要求更高。</w:t>
      </w:r>
    </w:p>
    <w:p>
      <w:pPr>
        <w:pStyle w:val="2"/>
        <w:spacing w:before="289" w:beforeLines="50" w:after="289" w:afterLines="50" w:line="240" w:lineRule="auto"/>
        <w:rPr>
          <w:rFonts w:ascii="黑体" w:hAnsi="黑体" w:eastAsia="黑体"/>
          <w:bCs w:val="0"/>
          <w:sz w:val="32"/>
          <w:szCs w:val="32"/>
        </w:rPr>
      </w:pPr>
      <w:bookmarkStart w:id="16" w:name="_Toc487012041"/>
      <w:r>
        <w:rPr>
          <w:rFonts w:hint="eastAsia" w:ascii="黑体" w:hAnsi="黑体" w:eastAsia="黑体"/>
          <w:bCs w:val="0"/>
          <w:sz w:val="32"/>
          <w:szCs w:val="32"/>
        </w:rPr>
        <w:t>三、主要任务与措施</w:t>
      </w:r>
      <w:bookmarkEnd w:id="13"/>
      <w:bookmarkEnd w:id="16"/>
    </w:p>
    <w:p>
      <w:pPr>
        <w:pStyle w:val="3"/>
        <w:spacing w:before="289" w:beforeLines="50" w:after="289" w:afterLines="50" w:line="240" w:lineRule="auto"/>
        <w:rPr>
          <w:rFonts w:ascii="楷体_GB2312" w:hAnsi="楷体_GB2312" w:eastAsia="楷体_GB2312"/>
        </w:rPr>
      </w:pPr>
      <w:bookmarkStart w:id="17" w:name="_Toc487012042"/>
      <w:bookmarkStart w:id="18" w:name="_Toc465882808"/>
      <w:r>
        <w:rPr>
          <w:rFonts w:hint="eastAsia" w:ascii="楷体_GB2312" w:hAnsi="楷体_GB2312" w:eastAsia="楷体_GB2312"/>
        </w:rPr>
        <w:t>（一）控源截污减排，深化泮沙排洪渠污染防治</w:t>
      </w:r>
      <w:bookmarkEnd w:id="17"/>
    </w:p>
    <w:p>
      <w:pPr>
        <w:outlineLvl w:val="1"/>
        <w:rPr>
          <w:b/>
          <w:szCs w:val="32"/>
        </w:rPr>
      </w:pPr>
      <w:r>
        <w:rPr>
          <w:rFonts w:hint="eastAsia"/>
          <w:b/>
          <w:szCs w:val="32"/>
        </w:rPr>
        <w:t xml:space="preserve">    </w:t>
      </w:r>
      <w:bookmarkStart w:id="19" w:name="_Toc487012043"/>
      <w:r>
        <w:rPr>
          <w:b/>
          <w:szCs w:val="32"/>
        </w:rPr>
        <w:t>1</w:t>
      </w:r>
      <w:r>
        <w:rPr>
          <w:rFonts w:hint="eastAsia"/>
          <w:b/>
          <w:szCs w:val="32"/>
        </w:rPr>
        <w:t>、防治工业污染</w:t>
      </w:r>
      <w:bookmarkEnd w:id="19"/>
    </w:p>
    <w:p>
      <w:pPr>
        <w:ind w:firstLine="632" w:firstLineChars="200"/>
      </w:pPr>
      <w:r>
        <w:rPr>
          <w:rFonts w:hint="eastAsia"/>
          <w:b/>
        </w:rPr>
        <w:t>严抓违法违规排放。</w:t>
      </w:r>
      <w:r>
        <w:rPr>
          <w:rFonts w:hint="eastAsia"/>
        </w:rPr>
        <w:t>流域内水污染行业企业已在环保</w:t>
      </w:r>
      <w:r>
        <w:t>部门备案为</w:t>
      </w:r>
      <w:r>
        <w:rPr>
          <w:rFonts w:hint="eastAsia"/>
        </w:rPr>
        <w:t>废</w:t>
      </w:r>
      <w:r>
        <w:t>水转移</w:t>
      </w:r>
      <w:r>
        <w:rPr>
          <w:rFonts w:hint="eastAsia"/>
        </w:rPr>
        <w:t>流域</w:t>
      </w:r>
      <w:r>
        <w:t>外处理的，</w:t>
      </w:r>
      <w:r>
        <w:rPr>
          <w:rFonts w:hint="eastAsia"/>
        </w:rPr>
        <w:t>必须</w:t>
      </w:r>
      <w:r>
        <w:t>严格落实执行，禁止擅</w:t>
      </w:r>
      <w:r>
        <w:rPr>
          <w:rFonts w:hint="eastAsia"/>
        </w:rPr>
        <w:t>自</w:t>
      </w:r>
      <w:r>
        <w:t>将</w:t>
      </w:r>
      <w:r>
        <w:rPr>
          <w:rFonts w:hint="eastAsia"/>
        </w:rPr>
        <w:t>工</w:t>
      </w:r>
      <w:r>
        <w:t>业</w:t>
      </w:r>
      <w:r>
        <w:rPr>
          <w:rFonts w:hint="eastAsia"/>
        </w:rPr>
        <w:t>废</w:t>
      </w:r>
      <w:r>
        <w:t>水</w:t>
      </w:r>
      <w:r>
        <w:rPr>
          <w:rFonts w:hint="eastAsia"/>
        </w:rPr>
        <w:t>偷</w:t>
      </w:r>
      <w:r>
        <w:t>排入</w:t>
      </w:r>
      <w:r>
        <w:rPr>
          <w:rFonts w:hint="eastAsia"/>
        </w:rPr>
        <w:t>泮沙排洪渠，并须</w:t>
      </w:r>
      <w:r>
        <w:t>将</w:t>
      </w:r>
      <w:r>
        <w:rPr>
          <w:rFonts w:hint="eastAsia"/>
        </w:rPr>
        <w:t>生活废水纳入市政纳污管网，禁止在河道设置任何排污口，禁止向河道排污；其他企业排放入泮沙排洪渠或城镇污</w:t>
      </w:r>
      <w:r>
        <w:t>水</w:t>
      </w:r>
      <w:r>
        <w:rPr>
          <w:rFonts w:hint="eastAsia"/>
        </w:rPr>
        <w:t>处理</w:t>
      </w:r>
      <w:r>
        <w:t>厂</w:t>
      </w:r>
      <w:r>
        <w:rPr>
          <w:rFonts w:hint="eastAsia"/>
        </w:rPr>
        <w:t>收集</w:t>
      </w:r>
      <w:r>
        <w:t>系统</w:t>
      </w:r>
      <w:r>
        <w:rPr>
          <w:rFonts w:hint="eastAsia"/>
        </w:rPr>
        <w:t>的污水必须经过污水处理达标后排放。对中山市科朗家禽有限公司、中山通佳鞋业有限公司、中山市南朗镇南鸿彩印厂等排污情况进行严查。（镇环境保护分局牵头，镇水</w:t>
      </w:r>
      <w:r>
        <w:t>利所</w:t>
      </w:r>
      <w:r>
        <w:rPr>
          <w:rFonts w:hint="eastAsia"/>
        </w:rPr>
        <w:t>、住房</w:t>
      </w:r>
      <w:r>
        <w:t>和城乡建设</w:t>
      </w:r>
      <w:r>
        <w:rPr>
          <w:rFonts w:hint="eastAsia"/>
        </w:rPr>
        <w:t>局等参与）</w:t>
      </w:r>
    </w:p>
    <w:p>
      <w:pPr>
        <w:ind w:firstLine="632" w:firstLineChars="200"/>
      </w:pPr>
      <w:r>
        <w:rPr>
          <w:rFonts w:hint="eastAsia"/>
          <w:b/>
        </w:rPr>
        <w:t>取缔“十小”企业，整治十大重点行业。</w:t>
      </w:r>
      <w:r>
        <w:rPr>
          <w:rFonts w:hint="eastAsia"/>
        </w:rPr>
        <w:t>认真落实《中山市人民政府关于印发中山市水污染防治行动计划实施方案的通知》（中府〔2016〕34号），依法取缔全部不符合产业政策的“十小”生产项目，并建立长效机制防止“回潮”。对照中山市十大重点行业专项治理方案逐一检查流域内相关企业是否按照要求做到相应的治理措施。新建、改建、扩建上述行业建设项目实行主要污染物排放等量或减量置换。（镇环境保护</w:t>
      </w:r>
      <w:r>
        <w:t>分局</w:t>
      </w:r>
      <w:r>
        <w:rPr>
          <w:rFonts w:hint="eastAsia"/>
        </w:rPr>
        <w:t>牵头，镇发</w:t>
      </w:r>
      <w:r>
        <w:t>展</w:t>
      </w:r>
      <w:r>
        <w:rPr>
          <w:rFonts w:hint="eastAsia"/>
        </w:rPr>
        <w:t>改革</w:t>
      </w:r>
      <w:r>
        <w:t>局、</w:t>
      </w:r>
      <w:r>
        <w:rPr>
          <w:rFonts w:hint="eastAsia"/>
        </w:rPr>
        <w:t>经济和科技信息局、</w:t>
      </w:r>
      <w:r>
        <w:t>国土资源分局</w:t>
      </w:r>
      <w:r>
        <w:rPr>
          <w:rFonts w:hint="eastAsia"/>
        </w:rPr>
        <w:t>等参与）</w:t>
      </w:r>
    </w:p>
    <w:p>
      <w:pPr>
        <w:ind w:firstLine="632" w:firstLineChars="200"/>
      </w:pPr>
      <w:r>
        <w:rPr>
          <w:rFonts w:hint="eastAsia"/>
          <w:b/>
        </w:rPr>
        <w:t>强化工业区水污染治理。</w:t>
      </w:r>
      <w:r>
        <w:rPr>
          <w:rFonts w:hint="eastAsia"/>
        </w:rPr>
        <w:t>对</w:t>
      </w:r>
      <w:r>
        <w:t>泮沙排洪渠流域内</w:t>
      </w:r>
      <w:r>
        <w:rPr>
          <w:rFonts w:hint="eastAsia"/>
        </w:rPr>
        <w:t>南朗第一、第二、第三工业区等</w:t>
      </w:r>
      <w:r>
        <w:t>工</w:t>
      </w:r>
      <w:r>
        <w:rPr>
          <w:rFonts w:hint="eastAsia"/>
        </w:rPr>
        <w:t>业</w:t>
      </w:r>
      <w:r>
        <w:t>区</w:t>
      </w:r>
      <w:r>
        <w:rPr>
          <w:rFonts w:hint="eastAsia"/>
        </w:rPr>
        <w:t>内</w:t>
      </w:r>
      <w:r>
        <w:t>企业</w:t>
      </w:r>
      <w:r>
        <w:rPr>
          <w:rFonts w:hint="eastAsia"/>
        </w:rPr>
        <w:t>的环保设施进行排查</w:t>
      </w:r>
      <w:r>
        <w:t>，</w:t>
      </w:r>
      <w:r>
        <w:rPr>
          <w:rFonts w:hint="eastAsia"/>
        </w:rPr>
        <w:t>并对重点污染源安装自动在线监控装置并与环保部门污染自动监控系统联网，对</w:t>
      </w:r>
      <w:r>
        <w:t>不符合要求或</w:t>
      </w:r>
      <w:r>
        <w:rPr>
          <w:rFonts w:hint="eastAsia"/>
        </w:rPr>
        <w:t>污水</w:t>
      </w:r>
      <w:r>
        <w:t>处理设施</w:t>
      </w:r>
      <w:r>
        <w:rPr>
          <w:rFonts w:hint="eastAsia"/>
        </w:rPr>
        <w:t>出水</w:t>
      </w:r>
      <w:r>
        <w:t>不达标的</w:t>
      </w:r>
      <w:r>
        <w:rPr>
          <w:rFonts w:hint="eastAsia"/>
        </w:rPr>
        <w:t>，依法限制生产或停产整治；对情节严重的，一律依法停业、关闭。（镇环境保护</w:t>
      </w:r>
      <w:r>
        <w:t>分</w:t>
      </w:r>
      <w:r>
        <w:rPr>
          <w:rFonts w:hint="eastAsia"/>
        </w:rPr>
        <w:t>局牵头，镇经济和科技信息局、</w:t>
      </w:r>
      <w:r>
        <w:t>公安分局</w:t>
      </w:r>
      <w:r>
        <w:rPr>
          <w:rFonts w:hint="eastAsia"/>
        </w:rPr>
        <w:t>等配合）</w:t>
      </w:r>
    </w:p>
    <w:p>
      <w:pPr>
        <w:ind w:firstLine="632" w:firstLineChars="200"/>
      </w:pPr>
      <w:r>
        <w:rPr>
          <w:rFonts w:hint="eastAsia"/>
          <w:b/>
        </w:rPr>
        <w:t>推行排污许可。</w:t>
      </w:r>
      <w:r>
        <w:t>2017</w:t>
      </w:r>
      <w:r>
        <w:rPr>
          <w:rFonts w:hint="eastAsia"/>
        </w:rPr>
        <w:t>年底前完成排污许可证核发工作，将污染物排放种类、浓度、总量、排放去向等纳入许可证管理范围。（市环境保护局牵头</w:t>
      </w:r>
      <w:r>
        <w:t>，镇环境保护分局参与</w:t>
      </w:r>
      <w:r>
        <w:rPr>
          <w:rFonts w:hint="eastAsia"/>
        </w:rPr>
        <w:t>）</w:t>
      </w:r>
    </w:p>
    <w:p>
      <w:pPr>
        <w:outlineLvl w:val="1"/>
        <w:rPr>
          <w:b/>
          <w:szCs w:val="32"/>
        </w:rPr>
      </w:pPr>
      <w:r>
        <w:rPr>
          <w:rFonts w:hint="eastAsia"/>
          <w:b/>
          <w:szCs w:val="32"/>
        </w:rPr>
        <w:t xml:space="preserve">    </w:t>
      </w:r>
      <w:bookmarkStart w:id="20" w:name="_Toc487012044"/>
      <w:r>
        <w:rPr>
          <w:b/>
          <w:szCs w:val="32"/>
        </w:rPr>
        <w:t>2</w:t>
      </w:r>
      <w:r>
        <w:rPr>
          <w:rFonts w:hint="eastAsia"/>
          <w:b/>
          <w:szCs w:val="32"/>
        </w:rPr>
        <w:t>、防治城镇生活污染</w:t>
      </w:r>
      <w:bookmarkEnd w:id="20"/>
    </w:p>
    <w:p>
      <w:pPr>
        <w:ind w:firstLine="632" w:firstLineChars="200"/>
        <w:rPr>
          <w:b/>
        </w:rPr>
      </w:pPr>
      <w:r>
        <w:rPr>
          <w:rFonts w:hint="eastAsia"/>
          <w:b/>
        </w:rPr>
        <w:t>加强配套管网建设和改造。</w:t>
      </w:r>
      <w:r>
        <w:rPr>
          <w:rFonts w:hint="eastAsia"/>
        </w:rPr>
        <w:t>进一步加快污水管网建设进度，继续推进雨污分流收集管网和</w:t>
      </w:r>
      <w:r>
        <w:t>沿河截污系统建设</w:t>
      </w:r>
      <w:r>
        <w:rPr>
          <w:rFonts w:hint="eastAsia"/>
        </w:rPr>
        <w:t>，从根本上解决沿河污水直排环境问题</w:t>
      </w:r>
      <w:r>
        <w:rPr>
          <w:rFonts w:hint="eastAsia"/>
          <w:color w:val="auto"/>
        </w:rPr>
        <w:t>，2020年前，全流域新增城镇污水处理厂配套污水干管4.4公里以</w:t>
      </w:r>
      <w:r>
        <w:rPr>
          <w:color w:val="auto"/>
        </w:rPr>
        <w:t>上</w:t>
      </w:r>
      <w:r>
        <w:rPr>
          <w:rFonts w:hint="eastAsia"/>
          <w:color w:val="auto"/>
        </w:rPr>
        <w:t>，除农村分散式生活污水处理设施排水外，其他排污口实现全部截</w:t>
      </w:r>
      <w:r>
        <w:rPr>
          <w:rFonts w:hint="eastAsia"/>
        </w:rPr>
        <w:t>污</w:t>
      </w:r>
      <w:r>
        <w:rPr>
          <w:rFonts w:hint="eastAsia"/>
          <w:shd w:val="clear"/>
        </w:rPr>
        <w:t>。</w:t>
      </w:r>
      <w:r>
        <w:rPr>
          <w:rFonts w:hint="eastAsia"/>
        </w:rPr>
        <w:t>（镇住房和城乡建设局牵头，镇环境保护分局、水</w:t>
      </w:r>
      <w:r>
        <w:t>利所</w:t>
      </w:r>
      <w:r>
        <w:rPr>
          <w:rFonts w:hint="eastAsia"/>
        </w:rPr>
        <w:t>等参与）</w:t>
      </w:r>
    </w:p>
    <w:p>
      <w:pPr>
        <w:ind w:firstLine="632" w:firstLineChars="200"/>
        <w:rPr>
          <w:color w:val="auto"/>
          <w:szCs w:val="24"/>
        </w:rPr>
      </w:pPr>
      <w:r>
        <w:rPr>
          <w:rFonts w:hint="eastAsia"/>
          <w:b/>
        </w:rPr>
        <w:t>治理企业员工生活污染。</w:t>
      </w:r>
      <w:r>
        <w:rPr>
          <w:color w:val="auto"/>
          <w:szCs w:val="24"/>
        </w:rPr>
        <w:t>2020</w:t>
      </w:r>
      <w:r>
        <w:rPr>
          <w:rFonts w:hint="eastAsia"/>
          <w:color w:val="auto"/>
          <w:szCs w:val="24"/>
        </w:rPr>
        <w:t>年底前，居住人数超过</w:t>
      </w:r>
      <w:r>
        <w:rPr>
          <w:color w:val="auto"/>
          <w:szCs w:val="24"/>
        </w:rPr>
        <w:t>100</w:t>
      </w:r>
      <w:r>
        <w:rPr>
          <w:rFonts w:hint="eastAsia"/>
          <w:color w:val="auto"/>
          <w:szCs w:val="24"/>
        </w:rPr>
        <w:t>人或日排放生活污水超过</w:t>
      </w:r>
      <w:r>
        <w:rPr>
          <w:color w:val="auto"/>
          <w:szCs w:val="24"/>
        </w:rPr>
        <w:t>30t</w:t>
      </w:r>
      <w:r>
        <w:rPr>
          <w:rFonts w:hint="eastAsia"/>
          <w:color w:val="auto"/>
          <w:szCs w:val="24"/>
        </w:rPr>
        <w:t>的企业生活污水应处理达到处理系统接收要求后由管网送往污水处理系统处理。</w:t>
      </w:r>
      <w:r>
        <w:rPr>
          <w:rFonts w:hint="eastAsia"/>
          <w:color w:val="auto"/>
        </w:rPr>
        <w:t>（镇环境保护分局牵头，镇住房城乡建设局等参与）</w:t>
      </w:r>
    </w:p>
    <w:p>
      <w:pPr>
        <w:outlineLvl w:val="1"/>
        <w:rPr>
          <w:b/>
          <w:szCs w:val="32"/>
        </w:rPr>
      </w:pPr>
      <w:r>
        <w:rPr>
          <w:rFonts w:hint="eastAsia"/>
          <w:b/>
          <w:szCs w:val="32"/>
        </w:rPr>
        <w:t xml:space="preserve">    </w:t>
      </w:r>
      <w:bookmarkStart w:id="21" w:name="_Toc487012045"/>
      <w:r>
        <w:rPr>
          <w:b/>
          <w:szCs w:val="32"/>
        </w:rPr>
        <w:t>3</w:t>
      </w:r>
      <w:r>
        <w:rPr>
          <w:rFonts w:hint="eastAsia"/>
          <w:b/>
          <w:szCs w:val="32"/>
        </w:rPr>
        <w:t>、农村环境综合整治</w:t>
      </w:r>
      <w:bookmarkEnd w:id="21"/>
    </w:p>
    <w:p>
      <w:pPr>
        <w:ind w:firstLine="632" w:firstLineChars="200"/>
      </w:pPr>
      <w:r>
        <w:rPr>
          <w:b/>
        </w:rPr>
        <w:t>推进</w:t>
      </w:r>
      <w:r>
        <w:rPr>
          <w:rFonts w:hint="eastAsia"/>
          <w:b/>
        </w:rPr>
        <w:t>农村</w:t>
      </w:r>
      <w:r>
        <w:rPr>
          <w:b/>
        </w:rPr>
        <w:t>分散式污水处理</w:t>
      </w:r>
      <w:r>
        <w:rPr>
          <w:rFonts w:hint="eastAsia"/>
          <w:b/>
        </w:rPr>
        <w:t>。</w:t>
      </w:r>
    </w:p>
    <w:p>
      <w:pPr>
        <w:ind w:firstLine="632" w:firstLineChars="200"/>
        <w:rPr>
          <w:b/>
        </w:rPr>
      </w:pPr>
      <w:r>
        <w:rPr>
          <w:rFonts w:hint="eastAsia"/>
        </w:rPr>
        <w:t>在流域范围</w:t>
      </w:r>
      <w:r>
        <w:t>内</w:t>
      </w:r>
      <w:r>
        <w:rPr>
          <w:rFonts w:hint="eastAsia"/>
        </w:rPr>
        <w:t>未能纳入集中式污水处理厂管网的各个自然村，进行分散式污水处理设施建</w:t>
      </w:r>
      <w:r>
        <w:rPr>
          <w:rFonts w:hint="eastAsia"/>
          <w:color w:val="auto"/>
        </w:rPr>
        <w:t>设,</w:t>
      </w:r>
      <w:r>
        <w:rPr>
          <w:rFonts w:hint="eastAsia"/>
          <w:color w:val="auto"/>
          <w:szCs w:val="24"/>
        </w:rPr>
        <w:t xml:space="preserve"> 出水执行GB18918-2002一级A标准与DB44/26-2001一级标准较</w:t>
      </w:r>
      <w:r>
        <w:rPr>
          <w:rFonts w:hint="eastAsia"/>
        </w:rPr>
        <w:t>严值。（镇住房和城乡建设局牵头，镇环保分局、规划分局、国土分局、财政分局、所在村委会等参与）</w:t>
      </w:r>
    </w:p>
    <w:p>
      <w:pPr>
        <w:ind w:firstLine="632" w:firstLineChars="200"/>
      </w:pPr>
      <w:r>
        <w:rPr>
          <w:rFonts w:hint="eastAsia"/>
          <w:b/>
        </w:rPr>
        <w:t>畜禽养殖业污染控制。</w:t>
      </w:r>
      <w:r>
        <w:rPr>
          <w:rFonts w:hint="eastAsia"/>
        </w:rPr>
        <w:t>按照市划定的禁养区范围，对禁养区、限养区内畜禽养殖业进行清理整治。</w:t>
      </w:r>
      <w:r>
        <w:t>2017</w:t>
      </w:r>
      <w:r>
        <w:rPr>
          <w:rFonts w:hint="eastAsia"/>
        </w:rPr>
        <w:t>年</w:t>
      </w:r>
      <w:r>
        <w:t>8</w:t>
      </w:r>
      <w:r>
        <w:rPr>
          <w:rFonts w:hint="eastAsia"/>
        </w:rPr>
        <w:t>月底前，制定泮沙排洪渠流域禁养区内养殖场清理清单和禁养区外规模养殖场整治清单。2017年底前，依法关闭或搬迁禁养区内的畜禽养殖场（小区）和养殖专业户, 对位于禁养区和限养区内未配套完善的污染治理设施并向外环境排放污染物造成环境污染的畜禽养殖场（小区）和养殖专业户依法进行行政处罚。现有规模化畜禽养殖场（小区）要配套建设粪便污水贮存、处理与利用设施，散养密集区要实行畜禽粪便污水分户收集、综合处理利用。新建、改建、扩建规模化畜禽养殖场（小区）要实施雨污分流、粪便污水资源化利用。（镇农业农村局牵头，镇环境保护分局、兽</w:t>
      </w:r>
      <w:r>
        <w:t>医站</w:t>
      </w:r>
      <w:r>
        <w:rPr>
          <w:rFonts w:hint="eastAsia"/>
        </w:rPr>
        <w:t>等参与）</w:t>
      </w:r>
    </w:p>
    <w:p>
      <w:pPr>
        <w:ind w:firstLine="632" w:firstLineChars="200"/>
      </w:pPr>
      <w:r>
        <w:rPr>
          <w:rFonts w:hint="eastAsia"/>
          <w:b/>
        </w:rPr>
        <w:t>农业面源污染控制。</w:t>
      </w:r>
      <w:r>
        <w:rPr>
          <w:rFonts w:hint="eastAsia"/>
        </w:rPr>
        <w:t>按照市的部署，推广低毒、低残留农药使用，鼓励使用人畜粪便等有机肥，减少化肥、农药和类激素等化学物质的使用量，开展农作物病虫害绿色防控和统防统治。横迳</w:t>
      </w:r>
      <w:r>
        <w:t>水库</w:t>
      </w:r>
      <w:r>
        <w:rPr>
          <w:rFonts w:hint="eastAsia"/>
        </w:rPr>
        <w:t>饮用水水源保护区及汇水区等敏感区域以及农业面源污染严重的区域，要建设农田排水和地表径流净化工程，利用现有沟、塘、窖等，配置水生植物群落、格栅和透水坝，建设生态沟渠、污水净化塘、地表径流集蓄池等设施，列出工程清单，明确工程建设内容、工程规模、期限、投资和责任单位等。（镇农业农村局牵头，镇环境保护分</w:t>
      </w:r>
      <w:r>
        <w:t>局、水利所</w:t>
      </w:r>
      <w:r>
        <w:rPr>
          <w:rFonts w:hint="eastAsia"/>
        </w:rPr>
        <w:t>等参与）</w:t>
      </w:r>
    </w:p>
    <w:p>
      <w:pPr>
        <w:ind w:firstLine="632" w:firstLineChars="200"/>
      </w:pPr>
      <w:r>
        <w:rPr>
          <w:rFonts w:hint="eastAsia"/>
          <w:b/>
        </w:rPr>
        <w:t>农村环境连片整治。</w:t>
      </w:r>
      <w:r>
        <w:rPr>
          <w:rFonts w:hint="eastAsia"/>
        </w:rPr>
        <w:t>以村为单元，坚持全面治理与重点改造并重，加快推进生活垃圾和污水处理设施建设。深化“以奖促治”政策，实施农村清洁工程，推进农村环境连片整治。（镇农业农村局牵头，镇环境</w:t>
      </w:r>
      <w:r>
        <w:t>保护分局、水利所、</w:t>
      </w:r>
      <w:r>
        <w:rPr>
          <w:rFonts w:hint="eastAsia"/>
        </w:rPr>
        <w:t>住房城乡建设局、</w:t>
      </w:r>
      <w:r>
        <w:t>环卫所</w:t>
      </w:r>
      <w:r>
        <w:rPr>
          <w:rFonts w:hint="eastAsia"/>
        </w:rPr>
        <w:t>、</w:t>
      </w:r>
      <w:r>
        <w:t>财政</w:t>
      </w:r>
      <w:r>
        <w:rPr>
          <w:rFonts w:hint="eastAsia"/>
        </w:rPr>
        <w:t>分</w:t>
      </w:r>
      <w:r>
        <w:t>局</w:t>
      </w:r>
      <w:r>
        <w:rPr>
          <w:rFonts w:hint="eastAsia"/>
        </w:rPr>
        <w:t>等参与）</w:t>
      </w:r>
    </w:p>
    <w:p>
      <w:pPr>
        <w:pStyle w:val="3"/>
        <w:spacing w:before="289" w:beforeLines="50" w:after="289" w:afterLines="50" w:line="240" w:lineRule="auto"/>
        <w:rPr>
          <w:rFonts w:ascii="楷体_GB2312" w:hAnsi="楷体_GB2312" w:eastAsia="楷体_GB2312"/>
        </w:rPr>
      </w:pPr>
      <w:bookmarkStart w:id="22" w:name="_Toc487012046"/>
      <w:r>
        <w:rPr>
          <w:rFonts w:hint="eastAsia" w:ascii="楷体_GB2312" w:hAnsi="楷体_GB2312" w:eastAsia="楷体_GB2312"/>
        </w:rPr>
        <w:t>（二）水环境综合治理，逐步恢复河流生态功能</w:t>
      </w:r>
      <w:bookmarkEnd w:id="22"/>
    </w:p>
    <w:p>
      <w:pPr>
        <w:ind w:firstLine="632" w:firstLineChars="200"/>
      </w:pPr>
      <w:r>
        <w:rPr>
          <w:rFonts w:hint="eastAsia"/>
        </w:rPr>
        <w:t>通过堤岸整治、河道清淤、景观及相应市政配套设施建设，改善河涌生态环境质量。清拆保护区内违章建筑，设立堤岸纵深5米的涵养绿化带，开展水生态修复和水生态景观建设试点。到2018年底，完成泮沙排洪渠的河涌清淤、截污治污及滨岸景观带建设，完成泮沙排洪渠范围内违规污染企业的清理整顿工作。到2019年底，完成流域</w:t>
      </w:r>
      <w:r>
        <w:t>内</w:t>
      </w:r>
      <w:r>
        <w:rPr>
          <w:rFonts w:hint="eastAsia"/>
        </w:rPr>
        <w:t>主要河涌综合整治及生态修复，逐步实现河床湿地化、河坎生态化、河岸景观化，提升人居环境满意度。（镇</w:t>
      </w:r>
      <w:r>
        <w:t>水</w:t>
      </w:r>
      <w:r>
        <w:rPr>
          <w:rFonts w:hint="eastAsia"/>
        </w:rPr>
        <w:t>利</w:t>
      </w:r>
      <w:r>
        <w:t>所</w:t>
      </w:r>
      <w:r>
        <w:rPr>
          <w:rFonts w:hint="eastAsia"/>
        </w:rPr>
        <w:t>牵头，镇住房城乡建设局、环境保护分局、</w:t>
      </w:r>
      <w:r>
        <w:t>财政分局</w:t>
      </w:r>
      <w:r>
        <w:rPr>
          <w:rFonts w:hint="eastAsia"/>
        </w:rPr>
        <w:t>等参与）</w:t>
      </w:r>
    </w:p>
    <w:p>
      <w:pPr>
        <w:pStyle w:val="3"/>
        <w:spacing w:before="289" w:beforeLines="50" w:after="289" w:afterLines="50" w:line="240" w:lineRule="auto"/>
        <w:rPr>
          <w:rFonts w:ascii="楷体_GB2312" w:hAnsi="楷体_GB2312" w:eastAsia="楷体_GB2312"/>
        </w:rPr>
      </w:pPr>
      <w:bookmarkStart w:id="23" w:name="_Toc487012047"/>
      <w:r>
        <w:rPr>
          <w:rFonts w:hint="eastAsia" w:ascii="楷体_GB2312" w:hAnsi="楷体_GB2312" w:eastAsia="楷体_GB2312"/>
        </w:rPr>
        <w:t>（三）强化环境监管，提高水污染防治水平</w:t>
      </w:r>
      <w:bookmarkEnd w:id="23"/>
    </w:p>
    <w:p>
      <w:pPr>
        <w:ind w:firstLine="632" w:firstLineChars="200"/>
      </w:pPr>
      <w:r>
        <w:rPr>
          <w:rFonts w:hint="eastAsia"/>
          <w:b/>
          <w:szCs w:val="32"/>
        </w:rPr>
        <w:t>严格环境执法监管。</w:t>
      </w:r>
      <w:r>
        <w:rPr>
          <w:rFonts w:hint="eastAsia"/>
        </w:rPr>
        <w:t>根据环境监管措施及要求，制定工业企业和污水处理设施排污情况抽查计划，对超标和超总量的企业实行“黄牌”警示，对经整治仍不能达到要求且情节严重的企业实行“红牌”处罚，加大环境执法力度。（镇环境保护分局牵头，镇经济和科技信息局、公安分局等参与）</w:t>
      </w:r>
    </w:p>
    <w:p>
      <w:pPr>
        <w:ind w:firstLine="632" w:firstLineChars="200"/>
      </w:pPr>
      <w:r>
        <w:rPr>
          <w:rFonts w:hint="eastAsia"/>
          <w:b/>
        </w:rPr>
        <w:t>加强环境监管能力建设</w:t>
      </w:r>
      <w:r>
        <w:rPr>
          <w:b/>
        </w:rPr>
        <w:t>。</w:t>
      </w:r>
      <w:r>
        <w:rPr>
          <w:rFonts w:hint="eastAsia"/>
        </w:rPr>
        <w:t>对重点企业、重点河段完善在线监控管理系统。对未进入市政管网直接排放进内河涌的主要排放口安装流量、水质自动监测设备，杜绝偷排漏排和超标超量排污，严厉打击环境违法行为。（市环境保护局牵头，镇环境</w:t>
      </w:r>
      <w:r>
        <w:t>保护分</w:t>
      </w:r>
      <w:r>
        <w:rPr>
          <w:rFonts w:hint="eastAsia"/>
        </w:rPr>
        <w:t>局、</w:t>
      </w:r>
      <w:r>
        <w:t>水</w:t>
      </w:r>
      <w:r>
        <w:rPr>
          <w:rFonts w:hint="eastAsia"/>
        </w:rPr>
        <w:t>利</w:t>
      </w:r>
      <w:r>
        <w:t>所</w:t>
      </w:r>
      <w:r>
        <w:rPr>
          <w:rFonts w:hint="eastAsia"/>
        </w:rPr>
        <w:t>等参与）</w:t>
      </w:r>
    </w:p>
    <w:p>
      <w:pPr>
        <w:pStyle w:val="3"/>
        <w:spacing w:before="289" w:beforeLines="50" w:after="289" w:afterLines="50" w:line="240" w:lineRule="auto"/>
        <w:rPr>
          <w:rFonts w:ascii="楷体_GB2312" w:hAnsi="楷体_GB2312" w:eastAsia="楷体_GB2312"/>
        </w:rPr>
      </w:pPr>
      <w:bookmarkStart w:id="24" w:name="_Toc487012048"/>
      <w:r>
        <w:rPr>
          <w:rFonts w:hint="eastAsia" w:ascii="楷体_GB2312" w:hAnsi="楷体_GB2312" w:eastAsia="楷体_GB2312"/>
        </w:rPr>
        <w:t>（四）调结构优布局，促进经济结构转型与升级</w:t>
      </w:r>
      <w:bookmarkEnd w:id="18"/>
      <w:bookmarkEnd w:id="24"/>
    </w:p>
    <w:p>
      <w:pPr>
        <w:outlineLvl w:val="1"/>
        <w:rPr>
          <w:b/>
          <w:szCs w:val="32"/>
        </w:rPr>
      </w:pPr>
      <w:r>
        <w:rPr>
          <w:rFonts w:hint="eastAsia"/>
          <w:b/>
          <w:szCs w:val="32"/>
        </w:rPr>
        <w:t xml:space="preserve">    </w:t>
      </w:r>
      <w:bookmarkStart w:id="25" w:name="_Toc456899274"/>
      <w:bookmarkStart w:id="26" w:name="_Toc456453992"/>
      <w:bookmarkStart w:id="27" w:name="_Toc460833627"/>
      <w:bookmarkStart w:id="28" w:name="_Toc461613708"/>
      <w:bookmarkStart w:id="29" w:name="_Toc460836418"/>
      <w:bookmarkStart w:id="30" w:name="_Toc465882809"/>
      <w:bookmarkStart w:id="31" w:name="_Toc487012049"/>
      <w:bookmarkStart w:id="32" w:name="_Toc465845527"/>
      <w:r>
        <w:rPr>
          <w:b/>
          <w:szCs w:val="32"/>
        </w:rPr>
        <w:t>1</w:t>
      </w:r>
      <w:r>
        <w:rPr>
          <w:rFonts w:hint="eastAsia"/>
          <w:b/>
          <w:szCs w:val="32"/>
        </w:rPr>
        <w:t>、</w:t>
      </w:r>
      <w:bookmarkEnd w:id="25"/>
      <w:bookmarkEnd w:id="26"/>
      <w:bookmarkEnd w:id="27"/>
      <w:bookmarkEnd w:id="28"/>
      <w:bookmarkEnd w:id="29"/>
      <w:r>
        <w:rPr>
          <w:rFonts w:hint="eastAsia"/>
          <w:b/>
          <w:szCs w:val="32"/>
        </w:rPr>
        <w:t>调整产业结构</w:t>
      </w:r>
      <w:bookmarkEnd w:id="30"/>
      <w:bookmarkEnd w:id="31"/>
      <w:bookmarkEnd w:id="32"/>
    </w:p>
    <w:p>
      <w:pPr>
        <w:ind w:firstLine="632" w:firstLineChars="200"/>
      </w:pPr>
      <w:r>
        <w:rPr>
          <w:rFonts w:hint="eastAsia"/>
          <w:b/>
        </w:rPr>
        <w:t>实施差别化环保准入</w:t>
      </w:r>
      <w:r>
        <w:t>。</w:t>
      </w:r>
      <w:r>
        <w:rPr>
          <w:rFonts w:hint="eastAsia"/>
        </w:rPr>
        <w:t>认真落实《中山市差别化环保准入促进区域协调发展实施细则》，按照市的部署对污染行业进行分类指导和差异化管理。流域内不允许再新建工业集聚区。2018年底前，依法关停污染严重、难以治理又拒不进入定点园区的重污染企业。（镇发展改革局、镇经济和科技信息局牵头，镇环境保护分局、国土资源分局、住房城乡建设局等参与）</w:t>
      </w:r>
    </w:p>
    <w:p>
      <w:pPr>
        <w:ind w:firstLine="632" w:firstLineChars="200"/>
      </w:pPr>
      <w:r>
        <w:rPr>
          <w:rFonts w:hint="eastAsia"/>
          <w:b/>
        </w:rPr>
        <w:t>继续推进淘汰落后产能</w:t>
      </w:r>
      <w:r>
        <w:rPr>
          <w:b/>
        </w:rPr>
        <w:t>。</w:t>
      </w:r>
      <w:r>
        <w:rPr>
          <w:rFonts w:hint="eastAsia"/>
        </w:rPr>
        <w:t>按照中山市落后产能淘汰方案和分年度落后产能淘汰计划，综合采取法律、经济、技术和必要的行政手段，关停清退超标排污企业和养殖业，大力推进清洁生产，淘汰落后产</w:t>
      </w:r>
      <w:r>
        <w:t>能</w:t>
      </w:r>
      <w:r>
        <w:rPr>
          <w:rFonts w:hint="eastAsia"/>
        </w:rPr>
        <w:t>生产企业。（镇经济和科技信息局牵头，镇发展改革局、环境保护分局、镇农业和农村工作局等参与）</w:t>
      </w:r>
    </w:p>
    <w:p>
      <w:pPr>
        <w:outlineLvl w:val="1"/>
        <w:rPr>
          <w:b/>
          <w:szCs w:val="32"/>
        </w:rPr>
      </w:pPr>
      <w:r>
        <w:rPr>
          <w:rFonts w:hint="eastAsia"/>
          <w:b/>
          <w:szCs w:val="32"/>
        </w:rPr>
        <w:t xml:space="preserve">    </w:t>
      </w:r>
      <w:bookmarkStart w:id="33" w:name="_Toc465845528"/>
      <w:bookmarkStart w:id="34" w:name="_Toc487012050"/>
      <w:bookmarkStart w:id="35" w:name="_Toc465882810"/>
      <w:r>
        <w:rPr>
          <w:b/>
          <w:szCs w:val="32"/>
        </w:rPr>
        <w:t>2</w:t>
      </w:r>
      <w:r>
        <w:rPr>
          <w:rFonts w:hint="eastAsia"/>
          <w:b/>
          <w:szCs w:val="32"/>
        </w:rPr>
        <w:t>、保护生态空间</w:t>
      </w:r>
      <w:bookmarkEnd w:id="33"/>
      <w:bookmarkEnd w:id="34"/>
      <w:bookmarkEnd w:id="35"/>
    </w:p>
    <w:p>
      <w:pPr>
        <w:ind w:firstLine="632" w:firstLineChars="200"/>
      </w:pPr>
      <w:r>
        <w:rPr>
          <w:rFonts w:hint="eastAsia"/>
        </w:rPr>
        <w:t>将《广东省环境保护规划纲要》（2006-2020年）的严格控制区和《中山市主体功能区规划实施纲要》确定的禁止开发区纳入生态红线进行严格管理，依法实施强制性保护。红线范围内禁止建设任何有污染物排放或造成生态环境破坏的项目；除文化自然遗产保护、森林防火、应急救援、环境保护和生态建设以及必要的旅游、交通、电网、通讯等基础设施外，原则上不得在生态红线区域内建设基础设施工程。（镇环境</w:t>
      </w:r>
      <w:r>
        <w:t>保护分局</w:t>
      </w:r>
      <w:r>
        <w:rPr>
          <w:rFonts w:hint="eastAsia"/>
        </w:rPr>
        <w:t>、林业站牵头，市财政局、国土资源局、住房城乡建设局、水务局、农业局等参与）</w:t>
      </w:r>
    </w:p>
    <w:p>
      <w:pPr>
        <w:ind w:firstLine="632" w:firstLineChars="200"/>
        <w:rPr>
          <w:color w:val="auto"/>
        </w:rPr>
      </w:pPr>
      <w:r>
        <w:rPr>
          <w:rFonts w:hint="eastAsia"/>
        </w:rPr>
        <w:t>依据《城市蓝线管理办法》，结合水质达标管理要求，划定蓝线管理范围，严格限制在横迳水库集雨区内变更土地利用方</w:t>
      </w:r>
      <w:r>
        <w:rPr>
          <w:rFonts w:hint="eastAsia"/>
          <w:color w:val="auto"/>
        </w:rPr>
        <w:t>式。（市国土资源局、城乡规划局牵头，镇城乡规划分局、国土资源分局、住房城乡建设局、环境保护分局等参与）</w:t>
      </w:r>
    </w:p>
    <w:p>
      <w:pPr>
        <w:outlineLvl w:val="1"/>
        <w:rPr>
          <w:b/>
          <w:color w:val="auto"/>
          <w:szCs w:val="32"/>
        </w:rPr>
      </w:pPr>
      <w:r>
        <w:rPr>
          <w:rFonts w:hint="eastAsia"/>
          <w:b/>
          <w:color w:val="auto"/>
          <w:szCs w:val="32"/>
        </w:rPr>
        <w:t xml:space="preserve">    </w:t>
      </w:r>
      <w:bookmarkStart w:id="36" w:name="_Toc465845529"/>
      <w:bookmarkStart w:id="37" w:name="_Toc465882811"/>
      <w:bookmarkStart w:id="38" w:name="_Toc487012051"/>
      <w:r>
        <w:rPr>
          <w:b/>
          <w:color w:val="auto"/>
          <w:szCs w:val="32"/>
        </w:rPr>
        <w:t>3</w:t>
      </w:r>
      <w:r>
        <w:rPr>
          <w:rFonts w:hint="eastAsia"/>
          <w:b/>
          <w:color w:val="auto"/>
          <w:szCs w:val="32"/>
        </w:rPr>
        <w:t>、发展绿色产业和循环经济</w:t>
      </w:r>
      <w:bookmarkEnd w:id="36"/>
      <w:bookmarkEnd w:id="37"/>
      <w:bookmarkEnd w:id="38"/>
    </w:p>
    <w:p>
      <w:pPr>
        <w:ind w:firstLine="632" w:firstLineChars="200"/>
        <w:rPr>
          <w:b/>
        </w:rPr>
      </w:pPr>
      <w:r>
        <w:rPr>
          <w:rFonts w:hint="eastAsia"/>
        </w:rPr>
        <w:t>继续推进纺织</w:t>
      </w:r>
      <w:r>
        <w:t>印染、</w:t>
      </w:r>
      <w:r>
        <w:rPr>
          <w:rFonts w:hint="eastAsia"/>
        </w:rPr>
        <w:t>纸制品业、金属加工、农副食品加工等行业节能减排。鼓励流域内高耗水行业实施绿色化升级改造和废水深度处理回用，着力推进工业园区生态化建设。依法全面推行清洁生产审核。（镇发展改革局、镇经济和科技信息局牵头，镇环境保护分局、住房城乡建设局等参与）</w:t>
      </w:r>
    </w:p>
    <w:p>
      <w:pPr>
        <w:pStyle w:val="3"/>
        <w:spacing w:before="289" w:beforeLines="50" w:after="289" w:afterLines="50" w:line="240" w:lineRule="auto"/>
        <w:rPr>
          <w:rFonts w:ascii="楷体_GB2312" w:hAnsi="楷体_GB2312" w:eastAsia="楷体_GB2312"/>
        </w:rPr>
      </w:pPr>
      <w:bookmarkStart w:id="39" w:name="_Toc468802613"/>
      <w:bookmarkStart w:id="40" w:name="_Toc487012052"/>
      <w:bookmarkStart w:id="41" w:name="_Toc465882817"/>
      <w:r>
        <w:rPr>
          <w:rFonts w:hint="eastAsia" w:ascii="楷体_GB2312" w:hAnsi="楷体_GB2312" w:eastAsia="楷体_GB2312"/>
        </w:rPr>
        <w:t>（五）节约保护水资源，积极推进节水减排</w:t>
      </w:r>
      <w:bookmarkEnd w:id="39"/>
      <w:bookmarkEnd w:id="40"/>
    </w:p>
    <w:p>
      <w:pPr>
        <w:ind w:firstLine="632" w:firstLineChars="200"/>
      </w:pPr>
      <w:r>
        <w:rPr>
          <w:rFonts w:hint="eastAsia"/>
        </w:rPr>
        <w:t>实施最严格水资源管理。对纳入取水许可管理的单位和其他用水大户实行计划用水管理。对自备水源情况进行排查执法，严禁私自取水用于生产和商业用途。严格执行《广东省用水定额》（DB44/T1461）地方标</w:t>
      </w:r>
      <w:r>
        <w:rPr>
          <w:rFonts w:hint="eastAsia"/>
          <w:color w:val="auto"/>
        </w:rPr>
        <w:t>准。根据</w:t>
      </w:r>
      <w:r>
        <w:rPr>
          <w:color w:val="auto"/>
        </w:rPr>
        <w:t>市</w:t>
      </w:r>
      <w:r>
        <w:rPr>
          <w:rFonts w:hint="eastAsia"/>
          <w:color w:val="auto"/>
        </w:rPr>
        <w:t>政府部署，按总量目标严格控制流域内用水量。</w:t>
      </w:r>
      <w:r>
        <w:rPr>
          <w:color w:val="auto"/>
        </w:rPr>
        <w:t>按照</w:t>
      </w:r>
      <w:r>
        <w:rPr>
          <w:rFonts w:hint="eastAsia"/>
          <w:color w:val="auto"/>
        </w:rPr>
        <w:t>国</w:t>
      </w:r>
      <w:r>
        <w:rPr>
          <w:color w:val="auto"/>
        </w:rPr>
        <w:t>家和省要求加大节水</w:t>
      </w:r>
      <w:r>
        <w:rPr>
          <w:rFonts w:hint="eastAsia"/>
          <w:color w:val="auto"/>
        </w:rPr>
        <w:t>型</w:t>
      </w:r>
      <w:r>
        <w:rPr>
          <w:color w:val="auto"/>
        </w:rPr>
        <w:t>社会建设力度，推动节水规划</w:t>
      </w:r>
      <w:r>
        <w:rPr>
          <w:rFonts w:hint="eastAsia"/>
          <w:color w:val="auto"/>
        </w:rPr>
        <w:t>编制以</w:t>
      </w:r>
      <w:r>
        <w:rPr>
          <w:color w:val="auto"/>
        </w:rPr>
        <w:t>及</w:t>
      </w:r>
      <w:r>
        <w:rPr>
          <w:rFonts w:hint="eastAsia"/>
          <w:color w:val="auto"/>
        </w:rPr>
        <w:t>公共</w:t>
      </w:r>
      <w:r>
        <w:rPr>
          <w:color w:val="auto"/>
        </w:rPr>
        <w:t>机构节水型单位、节水型学校和节水型企业建设，推广使用节水型器具和节水灌溉技术</w:t>
      </w:r>
      <w:r>
        <w:rPr>
          <w:rFonts w:hint="eastAsia"/>
          <w:color w:val="auto"/>
        </w:rPr>
        <w:t>。（市水务局牵头，镇发展改革局、经济和科技信息局、住房城乡建设局、水利</w:t>
      </w:r>
      <w:r>
        <w:rPr>
          <w:color w:val="auto"/>
        </w:rPr>
        <w:t>所</w:t>
      </w:r>
      <w:r>
        <w:rPr>
          <w:rFonts w:hint="eastAsia"/>
          <w:color w:val="auto"/>
        </w:rPr>
        <w:t>等参</w:t>
      </w:r>
      <w:r>
        <w:rPr>
          <w:rFonts w:hint="eastAsia"/>
        </w:rPr>
        <w:t>与）</w:t>
      </w:r>
    </w:p>
    <w:bookmarkEnd w:id="41"/>
    <w:p>
      <w:pPr>
        <w:pStyle w:val="2"/>
        <w:spacing w:before="289" w:beforeLines="50" w:after="289" w:afterLines="50" w:line="240" w:lineRule="auto"/>
        <w:rPr>
          <w:rFonts w:ascii="黑体" w:hAnsi="黑体" w:eastAsia="黑体"/>
          <w:bCs w:val="0"/>
          <w:sz w:val="32"/>
          <w:szCs w:val="32"/>
        </w:rPr>
      </w:pPr>
      <w:bookmarkStart w:id="42" w:name="_Toc465882821"/>
      <w:bookmarkStart w:id="43" w:name="_Toc487012053"/>
      <w:r>
        <w:rPr>
          <w:rFonts w:hint="eastAsia" w:ascii="黑体" w:hAnsi="黑体" w:eastAsia="黑体"/>
          <w:bCs w:val="0"/>
          <w:sz w:val="32"/>
          <w:szCs w:val="32"/>
        </w:rPr>
        <w:t>四、重点工程和投资匡算</w:t>
      </w:r>
      <w:bookmarkEnd w:id="42"/>
      <w:bookmarkEnd w:id="43"/>
    </w:p>
    <w:p>
      <w:pPr>
        <w:ind w:firstLine="632" w:firstLineChars="200"/>
      </w:pPr>
      <w:r>
        <w:rPr>
          <w:rFonts w:hint="eastAsia"/>
        </w:rPr>
        <w:t>为解决泮沙排洪渠水环境主要问题，实现泮沙桥断面水质达标的目标，必须在控源减排和提升环境容量两方面下功夫。根据前面章节对泮沙排洪渠流域污染源、水环境现状的分析，结合《粤</w:t>
      </w:r>
      <w:r>
        <w:rPr>
          <w:rFonts w:hint="eastAsia"/>
          <w:color w:val="auto"/>
        </w:rPr>
        <w:t>十条》拟提出重点流域水污染防治、集中式饮用水水源地环境保护两大类工程项目（总投资约1</w:t>
      </w:r>
      <w:r>
        <w:rPr>
          <w:color w:val="auto"/>
        </w:rPr>
        <w:t>.5</w:t>
      </w:r>
      <w:r>
        <w:rPr>
          <w:rFonts w:hint="eastAsia"/>
          <w:color w:val="auto"/>
        </w:rPr>
        <w:t>亿元）。应按照《环保部 财政部关于开展水污染防治行动计划项目储备库建设的通知》（环规财〔2016〕17号）、《广东省环境保护厅 广东省财政厅关于印发广东省水污染防治行动计划项目储备库建设方案的通知》（粤环〔2016〕19号）等文件的要求，对这</w:t>
      </w:r>
      <w:r>
        <w:rPr>
          <w:color w:val="auto"/>
        </w:rPr>
        <w:t>1</w:t>
      </w:r>
      <w:r>
        <w:rPr>
          <w:rFonts w:hint="eastAsia"/>
          <w:color w:val="auto"/>
          <w:lang w:val="en-US" w:eastAsia="zh-CN"/>
        </w:rPr>
        <w:t>4</w:t>
      </w:r>
      <w:r>
        <w:rPr>
          <w:rFonts w:hint="eastAsia"/>
          <w:color w:val="auto"/>
        </w:rPr>
        <w:t>个项目实施“清单式”管理机制，滚动管理、定期更新。充分利用市场机</w:t>
      </w:r>
      <w:r>
        <w:rPr>
          <w:rFonts w:hint="eastAsia"/>
        </w:rPr>
        <w:t>制，多渠道筹集资金，形成多元化投入格局，确保工程投资到位，并对不同项目区别不同情况给予适当支持。定期开展工程项目绩效评价，提高投资效益。</w:t>
      </w:r>
    </w:p>
    <w:p>
      <w:pPr>
        <w:ind w:firstLine="632" w:firstLineChars="200"/>
      </w:pPr>
      <w:r>
        <w:rPr>
          <w:rFonts w:hint="eastAsia"/>
        </w:rPr>
        <w:t>重点流域水污染防治是泮沙排洪渠流域水环境整治的重点，共部署1</w:t>
      </w:r>
      <w:r>
        <w:rPr>
          <w:rFonts w:hint="eastAsia"/>
          <w:lang w:val="en-US" w:eastAsia="zh-CN"/>
        </w:rPr>
        <w:t>1</w:t>
      </w:r>
      <w:r>
        <w:rPr>
          <w:rFonts w:hint="eastAsia"/>
        </w:rPr>
        <w:t>项工程，投资</w:t>
      </w:r>
      <w:r>
        <w:rPr>
          <w:rFonts w:hint="eastAsia"/>
          <w:color w:val="auto"/>
        </w:rPr>
        <w:t>估算约为</w:t>
      </w:r>
      <w:r>
        <w:rPr>
          <w:color w:val="auto"/>
        </w:rPr>
        <w:t>14</w:t>
      </w:r>
      <w:r>
        <w:rPr>
          <w:rFonts w:hint="eastAsia"/>
          <w:color w:val="auto"/>
          <w:lang w:val="en-US" w:eastAsia="zh-CN"/>
        </w:rPr>
        <w:t>2</w:t>
      </w:r>
      <w:r>
        <w:rPr>
          <w:color w:val="auto"/>
        </w:rPr>
        <w:t>70.8</w:t>
      </w:r>
      <w:r>
        <w:rPr>
          <w:rFonts w:hint="eastAsia"/>
          <w:color w:val="auto"/>
        </w:rPr>
        <w:t>万元，主</w:t>
      </w:r>
      <w:r>
        <w:rPr>
          <w:rFonts w:hint="eastAsia"/>
        </w:rPr>
        <w:t>要内容为推进泮沙排洪渠的污染综合整治与生态修复工程，不断削减污染负荷，持续改善水环境质量，逐步修复环境功能；集中式饮用水水源地环境保护共部署3项工程，投资估算为1</w:t>
      </w:r>
      <w:r>
        <w:t>080.00</w:t>
      </w:r>
      <w:r>
        <w:rPr>
          <w:rFonts w:hint="eastAsia"/>
        </w:rPr>
        <w:t>万元，在横迳水库开展综合整治、生态修复、环境监管能力建设等工程。从空间分布看，泮沙排洪渠中下游段（观音座新路与南合路交叉路口至泮沙小桥河段，包括南朗村、泮沙村及崖口村）是工程实施的重点区域，第2、3、</w:t>
      </w:r>
      <w:r>
        <w:t>7</w:t>
      </w:r>
      <w:r>
        <w:rPr>
          <w:rFonts w:hint="eastAsia"/>
        </w:rPr>
        <w:t>项工程均在该区域实施。工程项目详细情况见附表</w:t>
      </w:r>
      <w:r>
        <w:t>1</w:t>
      </w:r>
      <w:r>
        <w:rPr>
          <w:rFonts w:hint="eastAsia"/>
        </w:rPr>
        <w:t>。</w:t>
      </w:r>
    </w:p>
    <w:p>
      <w:pPr>
        <w:pStyle w:val="2"/>
        <w:spacing w:before="289" w:beforeLines="50" w:after="289" w:afterLines="50" w:line="240" w:lineRule="auto"/>
        <w:rPr>
          <w:rFonts w:ascii="黑体" w:hAnsi="黑体" w:eastAsia="黑体"/>
          <w:bCs w:val="0"/>
          <w:sz w:val="32"/>
          <w:szCs w:val="32"/>
        </w:rPr>
      </w:pPr>
      <w:bookmarkStart w:id="44" w:name="_Toc465882827"/>
      <w:bookmarkStart w:id="45" w:name="_Toc487012054"/>
      <w:r>
        <w:rPr>
          <w:rFonts w:hint="eastAsia" w:ascii="黑体" w:hAnsi="黑体" w:eastAsia="黑体"/>
          <w:bCs w:val="0"/>
          <w:sz w:val="32"/>
          <w:szCs w:val="32"/>
        </w:rPr>
        <w:t>五、保障措施</w:t>
      </w:r>
      <w:bookmarkEnd w:id="44"/>
      <w:bookmarkEnd w:id="45"/>
    </w:p>
    <w:p>
      <w:pPr>
        <w:pStyle w:val="3"/>
        <w:spacing w:before="289" w:beforeLines="50" w:after="289" w:afterLines="50" w:line="240" w:lineRule="auto"/>
        <w:rPr>
          <w:rFonts w:ascii="楷体_GB2312" w:hAnsi="楷体_GB2312" w:eastAsia="楷体_GB2312"/>
          <w:b w:val="0"/>
        </w:rPr>
      </w:pPr>
      <w:bookmarkStart w:id="46" w:name="_Toc465882828"/>
      <w:bookmarkStart w:id="47" w:name="_Toc487012055"/>
      <w:r>
        <w:rPr>
          <w:rFonts w:hint="eastAsia" w:ascii="楷体_GB2312" w:hAnsi="楷体_GB2312" w:eastAsia="楷体_GB2312"/>
          <w:b w:val="0"/>
        </w:rPr>
        <w:t>（一）落实各方责任</w:t>
      </w:r>
      <w:bookmarkEnd w:id="46"/>
      <w:bookmarkEnd w:id="47"/>
    </w:p>
    <w:p>
      <w:pPr>
        <w:ind w:firstLine="632" w:firstLineChars="200"/>
      </w:pPr>
      <w:r>
        <w:rPr>
          <w:rFonts w:hint="eastAsia"/>
          <w:b/>
        </w:rPr>
        <w:t>加强组织领导。</w:t>
      </w:r>
      <w:r>
        <w:rPr>
          <w:rFonts w:hint="eastAsia"/>
        </w:rPr>
        <w:t>南朗镇是本达标方案的实施主体，镇政府和有关部门要充分认识泮沙排洪渠达标整治工作的重要性、紧迫性和艰巨性。坚持政府“一把手”亲自抓、负总责，分管领导具体抓、全方位协调，采取强有力措施，做到责任到位、措施到位、投入到位，切实落实本方案。对本方案中所列的工程优先安排，视成熟程度列入年度重点建设投资项目。（镇政府负责落实）</w:t>
      </w:r>
    </w:p>
    <w:p>
      <w:pPr>
        <w:ind w:firstLine="632" w:firstLineChars="200"/>
      </w:pPr>
      <w:r>
        <w:rPr>
          <w:rFonts w:hint="eastAsia"/>
          <w:b/>
        </w:rPr>
        <w:t>落实排污单位主体责任。</w:t>
      </w:r>
      <w:r>
        <w:rPr>
          <w:rFonts w:hint="eastAsia"/>
        </w:rPr>
        <w:t>各类排污单位（工业企业、污水厂、禽畜养殖场等各类排放污水的单位）要严格执行环保法律法规和制度，加强污染治理设施建设和运行管理，开展自行监测，落实治污减排、环境风险防范、信息公开等责任。（镇环境</w:t>
      </w:r>
      <w:r>
        <w:t>保护分局</w:t>
      </w:r>
      <w:r>
        <w:rPr>
          <w:rFonts w:hint="eastAsia"/>
        </w:rPr>
        <w:t>牵头</w:t>
      </w:r>
      <w:r>
        <w:t>，</w:t>
      </w:r>
      <w:r>
        <w:rPr>
          <w:rFonts w:hint="eastAsia"/>
        </w:rPr>
        <w:t>镇</w:t>
      </w:r>
      <w:r>
        <w:t>经济和科技信息局</w:t>
      </w:r>
      <w:r>
        <w:rPr>
          <w:rFonts w:hint="eastAsia"/>
        </w:rPr>
        <w:t>等</w:t>
      </w:r>
      <w:r>
        <w:t>参与</w:t>
      </w:r>
      <w:r>
        <w:rPr>
          <w:rFonts w:hint="eastAsia"/>
        </w:rPr>
        <w:t>）</w:t>
      </w:r>
    </w:p>
    <w:p>
      <w:pPr>
        <w:pStyle w:val="3"/>
        <w:spacing w:before="289" w:beforeLines="50" w:after="289" w:afterLines="50" w:line="240" w:lineRule="auto"/>
        <w:rPr>
          <w:rFonts w:ascii="楷体_GB2312" w:hAnsi="楷体_GB2312" w:eastAsia="楷体_GB2312"/>
          <w:b w:val="0"/>
        </w:rPr>
      </w:pPr>
      <w:bookmarkStart w:id="48" w:name="_Toc487012056"/>
      <w:bookmarkStart w:id="49" w:name="_Toc465882829"/>
      <w:r>
        <w:rPr>
          <w:rFonts w:hint="eastAsia" w:ascii="楷体_GB2312" w:hAnsi="楷体_GB2312" w:eastAsia="楷体_GB2312"/>
          <w:b w:val="0"/>
        </w:rPr>
        <w:t>（二）强化责任考核</w:t>
      </w:r>
      <w:bookmarkEnd w:id="48"/>
      <w:bookmarkEnd w:id="49"/>
    </w:p>
    <w:p>
      <w:pPr>
        <w:ind w:firstLine="632" w:firstLineChars="200"/>
      </w:pPr>
      <w:r>
        <w:rPr>
          <w:rFonts w:hint="eastAsia"/>
        </w:rPr>
        <w:t>严格落实“党政同责”、“一岗双责”。</w:t>
      </w:r>
      <w:r>
        <w:t>2019</w:t>
      </w:r>
      <w:r>
        <w:rPr>
          <w:rFonts w:hint="eastAsia"/>
        </w:rPr>
        <w:t>年</w:t>
      </w:r>
      <w:r>
        <w:t>6</w:t>
      </w:r>
      <w:r>
        <w:rPr>
          <w:rFonts w:hint="eastAsia"/>
        </w:rPr>
        <w:t>月底前，开展达标方案实施情况中期考核，考核结果向社会公布，并作为对领导班子和领导干部综合考核评价的重要依据。如未通过年度考核，将约谈镇区政府主要负责同志，提出整改意见，予以督促，并实施建设项目环评限批。对因工作不力、履职缺位等导致未能有效应对水环境污染事件的，以及干预、伪造数据和没有完成年度目标任务的，要依法依纪追究有关单位和人员责任。按照《广东省党政领导干部生态环境损害责任追究实施细则》的要求，对不顾生态环境盲目决策，导致水环境质量恶化，造成严重后果的领导干部，要记录在案，视情节轻重，给予组织处理或党纪政纪处分，已经离任的要终身追究责任。（镇政府负责落实）</w:t>
      </w:r>
    </w:p>
    <w:p>
      <w:pPr>
        <w:pStyle w:val="3"/>
        <w:spacing w:before="289" w:beforeLines="50" w:after="289" w:afterLines="50" w:line="240" w:lineRule="auto"/>
        <w:rPr>
          <w:rFonts w:ascii="楷体_GB2312" w:hAnsi="楷体_GB2312" w:eastAsia="楷体_GB2312"/>
          <w:b w:val="0"/>
        </w:rPr>
      </w:pPr>
      <w:bookmarkStart w:id="50" w:name="_Toc487012057"/>
      <w:bookmarkStart w:id="51" w:name="_Toc465882830"/>
      <w:r>
        <w:rPr>
          <w:rFonts w:hint="eastAsia" w:ascii="楷体_GB2312" w:hAnsi="楷体_GB2312" w:eastAsia="楷体_GB2312"/>
          <w:b w:val="0"/>
        </w:rPr>
        <w:t>（三）加大资金投入</w:t>
      </w:r>
      <w:bookmarkEnd w:id="50"/>
      <w:bookmarkEnd w:id="51"/>
    </w:p>
    <w:p>
      <w:pPr>
        <w:ind w:firstLine="632" w:firstLineChars="200"/>
      </w:pPr>
      <w:r>
        <w:rPr>
          <w:rFonts w:hint="eastAsia"/>
          <w:b/>
        </w:rPr>
        <w:t>切实增加政府资金投入。</w:t>
      </w:r>
      <w:r>
        <w:rPr>
          <w:rFonts w:hint="eastAsia"/>
        </w:rPr>
        <w:t>镇区各相关部门要积极合作，重点支持污水处理、污泥处理处置、河道整治、畜禽养殖污染防治、水生态修复、应急清污等项目和工作；对环境监管能力建设及运行费用予以必要保障。（镇财政分局</w:t>
      </w:r>
      <w:r>
        <w:t>牵头</w:t>
      </w:r>
      <w:r>
        <w:rPr>
          <w:rFonts w:hint="eastAsia"/>
        </w:rPr>
        <w:t>，</w:t>
      </w:r>
      <w:r>
        <w:t>镇环</w:t>
      </w:r>
      <w:r>
        <w:rPr>
          <w:rFonts w:hint="eastAsia"/>
        </w:rPr>
        <w:t>境</w:t>
      </w:r>
      <w:r>
        <w:t>保</w:t>
      </w:r>
      <w:r>
        <w:rPr>
          <w:rFonts w:hint="eastAsia"/>
        </w:rPr>
        <w:t>护</w:t>
      </w:r>
      <w:r>
        <w:t>分局、水利所、</w:t>
      </w:r>
      <w:r>
        <w:rPr>
          <w:rFonts w:hint="eastAsia"/>
        </w:rPr>
        <w:t>住房和城乡建设局、</w:t>
      </w:r>
      <w:r>
        <w:t>农业农村局等参与</w:t>
      </w:r>
      <w:r>
        <w:rPr>
          <w:rFonts w:hint="eastAsia"/>
        </w:rPr>
        <w:t>）</w:t>
      </w:r>
    </w:p>
    <w:p>
      <w:pPr>
        <w:ind w:firstLine="632" w:firstLineChars="200"/>
      </w:pPr>
      <w:r>
        <w:rPr>
          <w:rFonts w:hint="eastAsia"/>
          <w:b/>
        </w:rPr>
        <w:t>建立多元化投资机制。</w:t>
      </w:r>
      <w:r>
        <w:rPr>
          <w:rFonts w:hint="eastAsia"/>
        </w:rPr>
        <w:t>引导社会资金投入，推行PPP模式（政府和社会资本合作）、排污权抵押融资和环境污染保证金制度，鼓励BOT（建设－经营－转让）等合作治污模式。鼓励乡贤与企业家捐建水污染治理设施。（镇财政分局</w:t>
      </w:r>
      <w:r>
        <w:t>牵头</w:t>
      </w:r>
      <w:r>
        <w:rPr>
          <w:rFonts w:hint="eastAsia"/>
        </w:rPr>
        <w:t>，镇</w:t>
      </w:r>
      <w:r>
        <w:t>水利所、</w:t>
      </w:r>
      <w:r>
        <w:rPr>
          <w:rFonts w:hint="eastAsia"/>
        </w:rPr>
        <w:t>住房和城乡建设局、</w:t>
      </w:r>
      <w:r>
        <w:t>农业农村局等参与</w:t>
      </w:r>
      <w:r>
        <w:rPr>
          <w:rFonts w:hint="eastAsia"/>
        </w:rPr>
        <w:t>）</w:t>
      </w:r>
    </w:p>
    <w:p>
      <w:pPr>
        <w:pStyle w:val="3"/>
        <w:spacing w:before="289" w:beforeLines="50" w:after="289" w:afterLines="50" w:line="240" w:lineRule="auto"/>
        <w:rPr>
          <w:rFonts w:ascii="楷体_GB2312" w:hAnsi="楷体_GB2312" w:eastAsia="楷体_GB2312"/>
          <w:b w:val="0"/>
        </w:rPr>
      </w:pPr>
      <w:bookmarkStart w:id="52" w:name="_Toc465882832"/>
      <w:bookmarkStart w:id="53" w:name="_Toc487012058"/>
      <w:r>
        <w:rPr>
          <w:rFonts w:hint="eastAsia" w:ascii="楷体_GB2312" w:hAnsi="楷体_GB2312" w:eastAsia="楷体_GB2312"/>
          <w:b w:val="0"/>
        </w:rPr>
        <w:t>（四）宣扬环境文化</w:t>
      </w:r>
      <w:bookmarkEnd w:id="52"/>
      <w:bookmarkEnd w:id="53"/>
    </w:p>
    <w:p>
      <w:pPr>
        <w:ind w:firstLine="632" w:firstLineChars="200"/>
      </w:pPr>
      <w:r>
        <w:rPr>
          <w:rFonts w:hint="eastAsia"/>
        </w:rPr>
        <w:t>坚持绿色发展，牢固树立“尊重自然、顺应自然、保护自然”、“绿水青山就是金山银山”的生态文明理念。充分利用微博、微信等新媒体，加强生态文化的宣传教育，提高全社会生态文明意识，倡导勤俭节约、绿色低碳、文明健康的生活方式和消费模式，推动节约用水，鼓励购买使用节水产品和环境标志产品。引导和规范非政府生态环保公益组织发展。依托中小学节水教育、水土保持教育、环境教育等社会实践基地，开展环保社会实践活动。深入开展环保模范城、美丽乡村、绿色学校、绿色社区等系列创建活动，把绿色理念全方位地融入社会事业。（市环境保护局牵头，镇环保分局、宣传办公室等参与）</w:t>
      </w:r>
    </w:p>
    <w:p>
      <w:pPr>
        <w:pStyle w:val="3"/>
        <w:spacing w:before="289" w:beforeLines="50" w:after="289" w:afterLines="50" w:line="240" w:lineRule="auto"/>
        <w:rPr>
          <w:rFonts w:ascii="楷体_GB2312" w:hAnsi="楷体_GB2312" w:eastAsia="楷体_GB2312"/>
          <w:b w:val="0"/>
        </w:rPr>
      </w:pPr>
      <w:bookmarkStart w:id="54" w:name="_Toc487012059"/>
      <w:bookmarkStart w:id="55" w:name="_Toc465882833"/>
      <w:r>
        <w:rPr>
          <w:rFonts w:hint="eastAsia" w:ascii="楷体_GB2312" w:hAnsi="楷体_GB2312" w:eastAsia="楷体_GB2312"/>
          <w:b w:val="0"/>
        </w:rPr>
        <w:t>（五）推动全民参与</w:t>
      </w:r>
      <w:bookmarkEnd w:id="54"/>
      <w:bookmarkEnd w:id="55"/>
    </w:p>
    <w:p>
      <w:pPr>
        <w:ind w:firstLine="632" w:firstLineChars="200"/>
      </w:pPr>
      <w:r>
        <w:rPr>
          <w:rFonts w:hint="eastAsia"/>
          <w:b/>
        </w:rPr>
        <w:t>依法公开环境信息。</w:t>
      </w:r>
      <w:r>
        <w:rPr>
          <w:rFonts w:hint="eastAsia"/>
        </w:rPr>
        <w:t>定期公布水环境状况。镇政府要健全完善环境信息公开制度，真实、全面、及时地公开各类环境信息。排污单位要依法向社会公开其产生的主要污染物名称、排放方式、排放浓度和总量、超标排放情况，以及污染防治设施的建设和运行情况，并按照规范实施排污口改造并公开环境信息，主动接受监督。（市</w:t>
      </w:r>
      <w:r>
        <w:t>环</w:t>
      </w:r>
      <w:r>
        <w:rPr>
          <w:rFonts w:hint="eastAsia"/>
        </w:rPr>
        <w:t>境</w:t>
      </w:r>
      <w:r>
        <w:t>保护局牵</w:t>
      </w:r>
      <w:r>
        <w:rPr>
          <w:rFonts w:hint="eastAsia"/>
        </w:rPr>
        <w:t>头</w:t>
      </w:r>
      <w:r>
        <w:t>，</w:t>
      </w:r>
      <w:r>
        <w:rPr>
          <w:rFonts w:hint="eastAsia"/>
        </w:rPr>
        <w:t>镇环境保护分局、</w:t>
      </w:r>
      <w:r>
        <w:t>经济和科技信息局</w:t>
      </w:r>
      <w:r>
        <w:rPr>
          <w:rFonts w:hint="eastAsia"/>
        </w:rPr>
        <w:t>等参与）</w:t>
      </w:r>
    </w:p>
    <w:p>
      <w:pPr>
        <w:ind w:firstLine="632" w:firstLineChars="200"/>
      </w:pPr>
      <w:r>
        <w:rPr>
          <w:rFonts w:hint="eastAsia"/>
          <w:b/>
        </w:rPr>
        <w:t>加强社会监督。</w:t>
      </w:r>
      <w:r>
        <w:rPr>
          <w:rFonts w:hint="eastAsia"/>
        </w:rPr>
        <w:t>探索建立河段监督员制度、环保志愿者制度，深入开展“环境监测开放日”、建成区污水直排环境和黑臭水体“随手拍”、“晒企业治污、晒环保监管”等活动。依托“互联网+”创新环境保护公众参与模式，健全公众投诉、信访、舆情和环保执法联动机制。通过公开听证、网络征集等形式，充分听取公众对重大决策和建设项目的意见。积极推行环境公益诉讼。（市</w:t>
      </w:r>
      <w:r>
        <w:t>环</w:t>
      </w:r>
      <w:r>
        <w:rPr>
          <w:rFonts w:hint="eastAsia"/>
        </w:rPr>
        <w:t>境</w:t>
      </w:r>
      <w:r>
        <w:t>保护局牵</w:t>
      </w:r>
      <w:r>
        <w:rPr>
          <w:rFonts w:hint="eastAsia"/>
        </w:rPr>
        <w:t>头</w:t>
      </w:r>
      <w:r>
        <w:t>，</w:t>
      </w:r>
      <w:r>
        <w:rPr>
          <w:rFonts w:hint="eastAsia"/>
        </w:rPr>
        <w:t>镇环境保护分局、</w:t>
      </w:r>
      <w:r>
        <w:t>经济和科技信息局</w:t>
      </w:r>
      <w:r>
        <w:rPr>
          <w:rFonts w:hint="eastAsia"/>
        </w:rPr>
        <w:t>等参与）</w:t>
      </w:r>
    </w:p>
    <w:p>
      <w:pPr>
        <w:ind w:firstLine="632" w:firstLineChars="200"/>
        <w:rPr>
          <w:szCs w:val="32"/>
        </w:rPr>
      </w:pPr>
    </w:p>
    <w:p>
      <w:pPr>
        <w:rPr>
          <w:szCs w:val="32"/>
        </w:rPr>
      </w:pPr>
      <w:r>
        <w:rPr>
          <w:rFonts w:hint="eastAsia"/>
          <w:szCs w:val="32"/>
        </w:rPr>
        <w:t>附表：1．工程项目清单</w:t>
      </w:r>
    </w:p>
    <w:p>
      <w:pPr>
        <w:ind w:left="948" w:leftChars="300"/>
        <w:rPr>
          <w:szCs w:val="32"/>
        </w:rPr>
      </w:pPr>
      <w:r>
        <w:rPr>
          <w:szCs w:val="32"/>
        </w:rPr>
        <w:t>2</w:t>
      </w:r>
      <w:r>
        <w:rPr>
          <w:rFonts w:hint="eastAsia"/>
          <w:szCs w:val="32"/>
        </w:rPr>
        <w:t>．泮沙排洪渠流域重点水污染企业排污现状及控源建议表</w:t>
      </w:r>
    </w:p>
    <w:p>
      <w:pPr>
        <w:rPr>
          <w:szCs w:val="32"/>
        </w:rPr>
      </w:pPr>
      <w:r>
        <w:rPr>
          <w:rFonts w:hint="eastAsia"/>
          <w:szCs w:val="32"/>
        </w:rPr>
        <w:t>附图：1．泮沙排洪渠整治范围图</w:t>
      </w:r>
    </w:p>
    <w:p>
      <w:pPr>
        <w:ind w:firstLine="948" w:firstLineChars="300"/>
        <w:rPr>
          <w:szCs w:val="32"/>
        </w:rPr>
      </w:pPr>
      <w:r>
        <w:rPr>
          <w:szCs w:val="32"/>
        </w:rPr>
        <w:t>2</w:t>
      </w:r>
      <w:r>
        <w:rPr>
          <w:rFonts w:hint="eastAsia"/>
          <w:szCs w:val="32"/>
        </w:rPr>
        <w:t>．泮沙排洪渠重点污染企业废水控源建议示意图</w:t>
      </w:r>
    </w:p>
    <w:p>
      <w:pPr>
        <w:ind w:firstLine="948" w:firstLineChars="300"/>
        <w:rPr>
          <w:rFonts w:eastAsia="宋体"/>
          <w:sz w:val="28"/>
          <w:szCs w:val="24"/>
          <w:lang w:val="zh-CN"/>
        </w:rPr>
        <w:sectPr>
          <w:headerReference r:id="rId6" w:type="default"/>
          <w:footerReference r:id="rId7" w:type="default"/>
          <w:pgSz w:w="11906" w:h="16838"/>
          <w:pgMar w:top="1440" w:right="1800" w:bottom="1440" w:left="1800" w:header="851" w:footer="1559" w:gutter="0"/>
          <w:pgNumType w:start="1"/>
          <w:cols w:space="720" w:num="1"/>
          <w:docGrid w:type="linesAndChars" w:linePitch="579" w:charSpace="-842"/>
        </w:sectPr>
      </w:pPr>
      <w:r>
        <w:rPr>
          <w:szCs w:val="32"/>
        </w:rPr>
        <w:t>3</w:t>
      </w:r>
      <w:r>
        <w:rPr>
          <w:rFonts w:hint="eastAsia"/>
          <w:szCs w:val="32"/>
        </w:rPr>
        <w:t>．南朗横门污水处理厂污水管网分布示意图</w:t>
      </w:r>
      <w:r>
        <w:rPr>
          <w:rFonts w:eastAsia="宋体"/>
          <w:sz w:val="28"/>
          <w:szCs w:val="24"/>
          <w:lang w:val="zh-CN"/>
        </w:rPr>
        <w:tab/>
      </w:r>
    </w:p>
    <w:p>
      <w:pPr>
        <w:pStyle w:val="2"/>
        <w:spacing w:before="289" w:beforeLines="50" w:after="289" w:afterLines="50" w:line="240" w:lineRule="auto"/>
        <w:rPr>
          <w:rFonts w:ascii="黑体" w:hAnsi="黑体" w:eastAsia="黑体"/>
          <w:bCs w:val="0"/>
          <w:sz w:val="32"/>
          <w:szCs w:val="32"/>
        </w:rPr>
      </w:pPr>
      <w:bookmarkStart w:id="56" w:name="_Toc487012060"/>
      <w:r>
        <w:rPr>
          <w:rFonts w:hint="eastAsia" w:ascii="黑体" w:hAnsi="黑体" w:eastAsia="黑体"/>
          <w:bCs w:val="0"/>
          <w:sz w:val="32"/>
          <w:szCs w:val="32"/>
        </w:rPr>
        <w:t>附表</w:t>
      </w:r>
      <w:bookmarkEnd w:id="56"/>
    </w:p>
    <w:p>
      <w:pPr>
        <w:spacing w:before="289" w:beforeLines="50"/>
        <w:jc w:val="center"/>
        <w:rPr>
          <w:b/>
          <w:sz w:val="28"/>
          <w:szCs w:val="21"/>
        </w:rPr>
      </w:pPr>
      <w:r>
        <w:rPr>
          <w:b/>
          <w:sz w:val="28"/>
          <w:szCs w:val="21"/>
        </w:rPr>
        <w:t>附表</w:t>
      </w:r>
      <w:r>
        <w:rPr>
          <w:rFonts w:hint="eastAsia"/>
          <w:b/>
          <w:sz w:val="28"/>
          <w:szCs w:val="21"/>
        </w:rPr>
        <w:t>1</w:t>
      </w:r>
      <w:r>
        <w:rPr>
          <w:b/>
          <w:sz w:val="28"/>
          <w:szCs w:val="21"/>
        </w:rPr>
        <w:t>.</w:t>
      </w:r>
      <w:r>
        <w:rPr>
          <w:rFonts w:hint="eastAsia"/>
          <w:b/>
          <w:sz w:val="28"/>
          <w:szCs w:val="21"/>
        </w:rPr>
        <w:t xml:space="preserve"> 工程项目清单</w:t>
      </w:r>
    </w:p>
    <w:tbl>
      <w:tblPr>
        <w:tblStyle w:val="25"/>
        <w:tblW w:w="13953" w:type="dxa"/>
        <w:tblInd w:w="-5" w:type="dxa"/>
        <w:tblLayout w:type="fixed"/>
        <w:tblCellMar>
          <w:top w:w="0" w:type="dxa"/>
          <w:left w:w="108" w:type="dxa"/>
          <w:bottom w:w="0" w:type="dxa"/>
          <w:right w:w="108" w:type="dxa"/>
        </w:tblCellMar>
      </w:tblPr>
      <w:tblGrid>
        <w:gridCol w:w="414"/>
        <w:gridCol w:w="685"/>
        <w:gridCol w:w="1114"/>
        <w:gridCol w:w="1252"/>
        <w:gridCol w:w="1120"/>
        <w:gridCol w:w="988"/>
        <w:gridCol w:w="1252"/>
        <w:gridCol w:w="1258"/>
        <w:gridCol w:w="3887"/>
        <w:gridCol w:w="1213"/>
        <w:gridCol w:w="770"/>
      </w:tblGrid>
      <w:tr>
        <w:tblPrEx>
          <w:tblCellMar>
            <w:top w:w="0" w:type="dxa"/>
            <w:left w:w="108" w:type="dxa"/>
            <w:bottom w:w="0" w:type="dxa"/>
            <w:right w:w="108" w:type="dxa"/>
          </w:tblCellMar>
        </w:tblPrEx>
        <w:trPr>
          <w:cantSplit/>
          <w:trHeight w:val="20" w:hRule="atLeast"/>
          <w:tblHeader/>
        </w:trPr>
        <w:tc>
          <w:tcPr>
            <w:tcW w:w="4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20"/>
              </w:rPr>
            </w:pPr>
            <w:r>
              <w:rPr>
                <w:rFonts w:hint="eastAsia" w:ascii="宋体" w:hAnsi="宋体" w:eastAsia="宋体" w:cs="宋体"/>
                <w:b/>
                <w:bCs/>
                <w:kern w:val="0"/>
                <w:sz w:val="20"/>
              </w:rPr>
              <w:t>序号</w:t>
            </w:r>
          </w:p>
        </w:tc>
        <w:tc>
          <w:tcPr>
            <w:tcW w:w="68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20"/>
              </w:rPr>
            </w:pPr>
            <w:r>
              <w:rPr>
                <w:rFonts w:hint="eastAsia" w:ascii="宋体" w:hAnsi="宋体" w:eastAsia="宋体" w:cs="宋体"/>
                <w:b/>
                <w:bCs/>
                <w:kern w:val="0"/>
                <w:sz w:val="20"/>
              </w:rPr>
              <w:t>范围</w:t>
            </w:r>
          </w:p>
        </w:tc>
        <w:tc>
          <w:tcPr>
            <w:tcW w:w="1114"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20"/>
              </w:rPr>
            </w:pPr>
            <w:r>
              <w:rPr>
                <w:rFonts w:hint="eastAsia" w:ascii="宋体" w:hAnsi="宋体" w:eastAsia="宋体" w:cs="宋体"/>
                <w:b/>
                <w:bCs/>
                <w:kern w:val="0"/>
                <w:sz w:val="20"/>
              </w:rPr>
              <w:t>项目类型</w:t>
            </w:r>
          </w:p>
        </w:tc>
        <w:tc>
          <w:tcPr>
            <w:tcW w:w="125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20"/>
              </w:rPr>
            </w:pPr>
            <w:r>
              <w:rPr>
                <w:rFonts w:hint="eastAsia" w:ascii="宋体" w:hAnsi="宋体" w:eastAsia="宋体" w:cs="宋体"/>
                <w:b/>
                <w:bCs/>
                <w:kern w:val="0"/>
                <w:sz w:val="20"/>
              </w:rPr>
              <w:t>项目名称</w:t>
            </w:r>
          </w:p>
        </w:tc>
        <w:tc>
          <w:tcPr>
            <w:tcW w:w="112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20"/>
              </w:rPr>
            </w:pPr>
            <w:r>
              <w:rPr>
                <w:rFonts w:hint="eastAsia" w:ascii="宋体" w:hAnsi="宋体" w:eastAsia="宋体" w:cs="宋体"/>
                <w:b/>
                <w:bCs/>
                <w:kern w:val="0"/>
                <w:sz w:val="20"/>
              </w:rPr>
              <w:t>建设地点</w:t>
            </w:r>
          </w:p>
        </w:tc>
        <w:tc>
          <w:tcPr>
            <w:tcW w:w="988"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20"/>
              </w:rPr>
            </w:pPr>
            <w:r>
              <w:rPr>
                <w:rFonts w:hint="eastAsia" w:ascii="宋体" w:hAnsi="宋体" w:eastAsia="宋体" w:cs="宋体"/>
                <w:b/>
                <w:bCs/>
                <w:kern w:val="0"/>
                <w:sz w:val="20"/>
              </w:rPr>
              <w:t>预计建设周期</w:t>
            </w:r>
          </w:p>
        </w:tc>
        <w:tc>
          <w:tcPr>
            <w:tcW w:w="125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20"/>
              </w:rPr>
            </w:pPr>
            <w:r>
              <w:rPr>
                <w:rFonts w:hint="eastAsia" w:ascii="宋体" w:hAnsi="宋体" w:eastAsia="宋体" w:cs="宋体"/>
                <w:b/>
                <w:bCs/>
                <w:kern w:val="0"/>
                <w:sz w:val="20"/>
              </w:rPr>
              <w:t>牵头单位</w:t>
            </w:r>
          </w:p>
        </w:tc>
        <w:tc>
          <w:tcPr>
            <w:tcW w:w="1258"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20"/>
              </w:rPr>
            </w:pPr>
            <w:r>
              <w:rPr>
                <w:rFonts w:hint="eastAsia" w:ascii="宋体" w:hAnsi="宋体" w:eastAsia="宋体" w:cs="宋体"/>
                <w:b/>
                <w:bCs/>
                <w:kern w:val="0"/>
                <w:sz w:val="20"/>
              </w:rPr>
              <w:t>配合单位</w:t>
            </w:r>
          </w:p>
        </w:tc>
        <w:tc>
          <w:tcPr>
            <w:tcW w:w="388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20"/>
              </w:rPr>
            </w:pPr>
            <w:r>
              <w:rPr>
                <w:rFonts w:hint="eastAsia" w:ascii="宋体" w:hAnsi="宋体" w:eastAsia="宋体" w:cs="宋体"/>
                <w:b/>
                <w:bCs/>
                <w:kern w:val="0"/>
                <w:sz w:val="20"/>
              </w:rPr>
              <w:t>项目建设规模与内容</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20"/>
              </w:rPr>
            </w:pPr>
            <w:r>
              <w:rPr>
                <w:rFonts w:hint="eastAsia" w:ascii="宋体" w:hAnsi="宋体" w:eastAsia="宋体" w:cs="宋体"/>
                <w:b/>
                <w:bCs/>
                <w:kern w:val="0"/>
                <w:sz w:val="20"/>
              </w:rPr>
              <w:t>投资估算（万元）</w:t>
            </w:r>
          </w:p>
        </w:tc>
        <w:tc>
          <w:tcPr>
            <w:tcW w:w="77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20"/>
              </w:rPr>
            </w:pPr>
            <w:r>
              <w:rPr>
                <w:rFonts w:hint="eastAsia" w:ascii="宋体" w:hAnsi="宋体" w:eastAsia="宋体" w:cs="宋体"/>
                <w:b/>
                <w:bCs/>
                <w:kern w:val="0"/>
                <w:sz w:val="20"/>
              </w:rPr>
              <w:t>项目</w:t>
            </w:r>
            <w:r>
              <w:rPr>
                <w:rFonts w:ascii="宋体" w:hAnsi="宋体" w:eastAsia="宋体" w:cs="宋体"/>
                <w:b/>
                <w:bCs/>
                <w:kern w:val="0"/>
                <w:sz w:val="20"/>
              </w:rPr>
              <w:br w:type="textWrapping"/>
            </w:r>
            <w:r>
              <w:rPr>
                <w:rFonts w:hint="eastAsia" w:ascii="宋体" w:hAnsi="宋体" w:eastAsia="宋体" w:cs="宋体"/>
                <w:b/>
                <w:bCs/>
                <w:kern w:val="0"/>
                <w:sz w:val="20"/>
              </w:rPr>
              <w:t>进度</w:t>
            </w:r>
          </w:p>
        </w:tc>
      </w:tr>
      <w:tr>
        <w:tblPrEx>
          <w:tblCellMar>
            <w:top w:w="0" w:type="dxa"/>
            <w:left w:w="108" w:type="dxa"/>
            <w:bottom w:w="0" w:type="dxa"/>
            <w:right w:w="108" w:type="dxa"/>
          </w:tblCellMar>
        </w:tblPrEx>
        <w:trPr>
          <w:cantSplit/>
          <w:trHeight w:val="20" w:hRule="atLeast"/>
        </w:trPr>
        <w:tc>
          <w:tcPr>
            <w:tcW w:w="11970"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left"/>
              <w:rPr>
                <w:rFonts w:ascii="宋体" w:hAnsi="宋体" w:eastAsia="宋体" w:cs="宋体"/>
                <w:b/>
                <w:bCs/>
                <w:color w:val="auto"/>
                <w:kern w:val="0"/>
                <w:sz w:val="20"/>
              </w:rPr>
            </w:pPr>
            <w:r>
              <w:rPr>
                <w:rFonts w:hint="eastAsia" w:ascii="宋体" w:hAnsi="宋体" w:eastAsia="宋体" w:cs="宋体"/>
                <w:b/>
                <w:bCs/>
                <w:color w:val="auto"/>
                <w:kern w:val="0"/>
                <w:sz w:val="20"/>
              </w:rPr>
              <w:t>总计</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宋体"/>
                <w:b/>
                <w:bCs/>
                <w:color w:val="auto"/>
                <w:kern w:val="0"/>
                <w:sz w:val="20"/>
              </w:rPr>
            </w:pPr>
            <w:r>
              <w:rPr>
                <w:rFonts w:eastAsia="宋体"/>
                <w:b/>
                <w:bCs/>
                <w:color w:val="auto"/>
                <w:kern w:val="0"/>
                <w:sz w:val="20"/>
              </w:rPr>
              <w:t>15</w:t>
            </w:r>
            <w:r>
              <w:rPr>
                <w:rFonts w:hint="eastAsia" w:eastAsia="宋体"/>
                <w:b/>
                <w:bCs/>
                <w:color w:val="auto"/>
                <w:kern w:val="0"/>
                <w:sz w:val="20"/>
                <w:lang w:val="en-US" w:eastAsia="zh-CN"/>
              </w:rPr>
              <w:t>3</w:t>
            </w:r>
            <w:r>
              <w:rPr>
                <w:rFonts w:eastAsia="宋体"/>
                <w:b/>
                <w:bCs/>
                <w:color w:val="auto"/>
                <w:kern w:val="0"/>
                <w:sz w:val="20"/>
              </w:rPr>
              <w:t>50.8</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kern w:val="0"/>
                <w:sz w:val="20"/>
              </w:rPr>
            </w:pPr>
            <w:r>
              <w:rPr>
                <w:rFonts w:hint="eastAsia" w:ascii="宋体" w:hAnsi="宋体" w:eastAsia="宋体" w:cs="宋体"/>
                <w:kern w:val="0"/>
                <w:sz w:val="20"/>
              </w:rPr>
              <w:t>　</w:t>
            </w:r>
          </w:p>
        </w:tc>
      </w:tr>
      <w:tr>
        <w:tblPrEx>
          <w:tblCellMar>
            <w:top w:w="0" w:type="dxa"/>
            <w:left w:w="108" w:type="dxa"/>
            <w:bottom w:w="0" w:type="dxa"/>
            <w:right w:w="108" w:type="dxa"/>
          </w:tblCellMar>
        </w:tblPrEx>
        <w:trPr>
          <w:cantSplit/>
          <w:trHeight w:val="20" w:hRule="atLeast"/>
        </w:trPr>
        <w:tc>
          <w:tcPr>
            <w:tcW w:w="13953"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left"/>
              <w:rPr>
                <w:rFonts w:ascii="宋体" w:hAnsi="宋体" w:eastAsia="宋体" w:cs="宋体"/>
                <w:b/>
                <w:bCs/>
                <w:color w:val="auto"/>
                <w:kern w:val="0"/>
                <w:sz w:val="20"/>
              </w:rPr>
            </w:pPr>
            <w:r>
              <w:rPr>
                <w:rFonts w:hint="eastAsia" w:ascii="宋体" w:hAnsi="宋体" w:eastAsia="宋体" w:cs="宋体"/>
                <w:b/>
                <w:bCs/>
                <w:color w:val="auto"/>
                <w:kern w:val="0"/>
                <w:sz w:val="20"/>
              </w:rPr>
              <w:t>一、重点流域水污染防治</w:t>
            </w:r>
          </w:p>
        </w:tc>
      </w:tr>
      <w:tr>
        <w:tblPrEx>
          <w:tblCellMar>
            <w:top w:w="0" w:type="dxa"/>
            <w:left w:w="108" w:type="dxa"/>
            <w:bottom w:w="0" w:type="dxa"/>
            <w:right w:w="108" w:type="dxa"/>
          </w:tblCellMar>
        </w:tblPrEx>
        <w:trPr>
          <w:cantSplit/>
          <w:trHeight w:val="20" w:hRule="atLeast"/>
        </w:trPr>
        <w:tc>
          <w:tcPr>
            <w:tcW w:w="11970"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left"/>
              <w:rPr>
                <w:rFonts w:ascii="宋体" w:hAnsi="宋体" w:eastAsia="宋体" w:cs="宋体"/>
                <w:b/>
                <w:bCs/>
                <w:color w:val="auto"/>
                <w:kern w:val="0"/>
                <w:sz w:val="20"/>
              </w:rPr>
            </w:pPr>
            <w:r>
              <w:rPr>
                <w:rFonts w:hint="eastAsia" w:ascii="宋体" w:hAnsi="宋体" w:eastAsia="宋体" w:cs="宋体"/>
                <w:b/>
                <w:bCs/>
                <w:color w:val="auto"/>
                <w:kern w:val="0"/>
                <w:sz w:val="20"/>
              </w:rPr>
              <w:t>合计</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hint="eastAsia" w:eastAsia="宋体"/>
                <w:b/>
                <w:bCs/>
                <w:color w:val="auto"/>
                <w:kern w:val="0"/>
                <w:sz w:val="20"/>
                <w:lang w:eastAsia="zh-CN"/>
              </w:rPr>
            </w:pPr>
            <w:r>
              <w:rPr>
                <w:rFonts w:hint="eastAsia" w:eastAsia="宋体"/>
                <w:b/>
                <w:bCs/>
                <w:color w:val="auto"/>
                <w:kern w:val="0"/>
                <w:sz w:val="20"/>
                <w:lang w:val="en-US" w:eastAsia="zh-CN"/>
              </w:rPr>
              <w:t>14270.8</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kern w:val="0"/>
                <w:sz w:val="20"/>
              </w:rPr>
            </w:pPr>
            <w:r>
              <w:rPr>
                <w:rFonts w:hint="eastAsia" w:ascii="宋体" w:hAnsi="宋体" w:eastAsia="宋体" w:cs="宋体"/>
                <w:kern w:val="0"/>
                <w:sz w:val="20"/>
              </w:rPr>
              <w:t>　</w:t>
            </w:r>
          </w:p>
        </w:tc>
      </w:tr>
      <w:tr>
        <w:tblPrEx>
          <w:tblCellMar>
            <w:top w:w="0" w:type="dxa"/>
            <w:left w:w="108" w:type="dxa"/>
            <w:bottom w:w="0" w:type="dxa"/>
            <w:right w:w="108" w:type="dxa"/>
          </w:tblCellMar>
        </w:tblPrEx>
        <w:trPr>
          <w:cantSplit/>
          <w:trHeight w:val="20" w:hRule="atLeast"/>
        </w:trPr>
        <w:tc>
          <w:tcPr>
            <w:tcW w:w="41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olor w:val="auto"/>
                <w:kern w:val="0"/>
                <w:sz w:val="20"/>
              </w:rPr>
            </w:pPr>
            <w:r>
              <w:rPr>
                <w:rFonts w:eastAsia="宋体"/>
                <w:color w:val="auto"/>
                <w:kern w:val="0"/>
                <w:sz w:val="20"/>
              </w:rPr>
              <w:t>1</w:t>
            </w:r>
          </w:p>
        </w:tc>
        <w:tc>
          <w:tcPr>
            <w:tcW w:w="6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南朗镇</w:t>
            </w:r>
          </w:p>
        </w:tc>
        <w:tc>
          <w:tcPr>
            <w:tcW w:w="1114" w:type="dxa"/>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eastAsia="宋体"/>
                <w:color w:val="auto"/>
                <w:kern w:val="0"/>
                <w:sz w:val="20"/>
              </w:rPr>
            </w:pPr>
            <w:r>
              <w:rPr>
                <w:rFonts w:eastAsia="宋体"/>
                <w:color w:val="auto"/>
                <w:kern w:val="0"/>
                <w:sz w:val="20"/>
              </w:rPr>
              <w:t>1-</w:t>
            </w:r>
            <w:r>
              <w:rPr>
                <w:rFonts w:hint="eastAsia" w:ascii="宋体" w:hAnsi="宋体" w:eastAsia="宋体"/>
                <w:color w:val="auto"/>
                <w:kern w:val="0"/>
                <w:sz w:val="20"/>
              </w:rPr>
              <w:t>流域生态环境状况调查与评估</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泮沙排洪渠水质改善方案编制项目</w:t>
            </w:r>
          </w:p>
        </w:tc>
        <w:tc>
          <w:tcPr>
            <w:tcW w:w="112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泮沙排洪渠流域</w:t>
            </w:r>
          </w:p>
        </w:tc>
        <w:tc>
          <w:tcPr>
            <w:tcW w:w="98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宋体"/>
                <w:color w:val="auto"/>
                <w:kern w:val="0"/>
                <w:sz w:val="20"/>
              </w:rPr>
            </w:pPr>
            <w:r>
              <w:rPr>
                <w:rFonts w:eastAsia="宋体"/>
                <w:color w:val="auto"/>
                <w:kern w:val="0"/>
                <w:sz w:val="20"/>
              </w:rPr>
              <w:t>2017.3-2017.12</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镇住房和城乡建设局</w:t>
            </w:r>
          </w:p>
        </w:tc>
        <w:tc>
          <w:tcPr>
            <w:tcW w:w="1258" w:type="dxa"/>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镇环保分局、水利所、农业农村局</w:t>
            </w:r>
          </w:p>
        </w:tc>
        <w:tc>
          <w:tcPr>
            <w:tcW w:w="3887"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eastAsia="宋体" w:cs="宋体"/>
                <w:color w:val="auto"/>
                <w:kern w:val="0"/>
                <w:sz w:val="20"/>
              </w:rPr>
            </w:pPr>
            <w:r>
              <w:rPr>
                <w:rFonts w:hint="eastAsia" w:ascii="宋体" w:hAnsi="宋体" w:eastAsia="宋体" w:cs="宋体"/>
                <w:color w:val="auto"/>
                <w:kern w:val="0"/>
                <w:sz w:val="20"/>
              </w:rPr>
              <w:t>对泮沙排洪渠的水质改善进行</w:t>
            </w:r>
            <w:r>
              <w:rPr>
                <w:rFonts w:ascii="宋体" w:hAnsi="宋体" w:eastAsia="宋体" w:cs="宋体"/>
                <w:color w:val="auto"/>
                <w:kern w:val="0"/>
                <w:sz w:val="20"/>
              </w:rPr>
              <w:t>污染源和排污系统的</w:t>
            </w:r>
            <w:r>
              <w:rPr>
                <w:rFonts w:hint="eastAsia" w:ascii="宋体" w:hAnsi="宋体" w:eastAsia="宋体" w:cs="宋体"/>
                <w:color w:val="auto"/>
                <w:kern w:val="0"/>
                <w:sz w:val="20"/>
              </w:rPr>
              <w:t>调查和研究，提出对策</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宋体"/>
                <w:color w:val="auto"/>
                <w:kern w:val="0"/>
                <w:sz w:val="20"/>
              </w:rPr>
            </w:pPr>
            <w:r>
              <w:rPr>
                <w:rFonts w:eastAsia="宋体"/>
                <w:color w:val="auto"/>
                <w:kern w:val="0"/>
                <w:sz w:val="20"/>
              </w:rPr>
              <w:t>30.8</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宋体"/>
                <w:kern w:val="0"/>
                <w:sz w:val="20"/>
              </w:rPr>
            </w:pPr>
            <w:r>
              <w:rPr>
                <w:rFonts w:eastAsia="宋体"/>
                <w:kern w:val="0"/>
                <w:sz w:val="20"/>
              </w:rPr>
              <w:t>1-</w:t>
            </w:r>
            <w:r>
              <w:rPr>
                <w:rFonts w:hint="eastAsia" w:ascii="宋体" w:hAnsi="宋体" w:eastAsia="宋体"/>
                <w:kern w:val="0"/>
                <w:sz w:val="20"/>
              </w:rPr>
              <w:t>未开工</w:t>
            </w:r>
          </w:p>
        </w:tc>
      </w:tr>
      <w:tr>
        <w:tblPrEx>
          <w:tblCellMar>
            <w:top w:w="0" w:type="dxa"/>
            <w:left w:w="108" w:type="dxa"/>
            <w:bottom w:w="0" w:type="dxa"/>
            <w:right w:w="108" w:type="dxa"/>
          </w:tblCellMar>
        </w:tblPrEx>
        <w:trPr>
          <w:cantSplit/>
          <w:trHeight w:val="20" w:hRule="atLeast"/>
        </w:trPr>
        <w:tc>
          <w:tcPr>
            <w:tcW w:w="41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kern w:val="0"/>
                <w:sz w:val="20"/>
              </w:rPr>
            </w:pPr>
            <w:r>
              <w:rPr>
                <w:rFonts w:eastAsia="宋体"/>
                <w:kern w:val="0"/>
                <w:sz w:val="20"/>
              </w:rPr>
              <w:t>2</w:t>
            </w:r>
          </w:p>
        </w:tc>
        <w:tc>
          <w:tcPr>
            <w:tcW w:w="6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kern w:val="0"/>
                <w:sz w:val="20"/>
              </w:rPr>
            </w:pPr>
            <w:r>
              <w:rPr>
                <w:rFonts w:hint="eastAsia" w:ascii="宋体" w:hAnsi="宋体" w:eastAsia="宋体" w:cs="宋体"/>
                <w:kern w:val="0"/>
                <w:sz w:val="20"/>
              </w:rPr>
              <w:t>南朗镇</w:t>
            </w:r>
          </w:p>
        </w:tc>
        <w:tc>
          <w:tcPr>
            <w:tcW w:w="1114" w:type="dxa"/>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eastAsia="宋体"/>
                <w:kern w:val="0"/>
                <w:sz w:val="20"/>
              </w:rPr>
            </w:pPr>
            <w:r>
              <w:rPr>
                <w:rFonts w:eastAsia="宋体"/>
                <w:kern w:val="0"/>
                <w:sz w:val="20"/>
              </w:rPr>
              <w:t>2-</w:t>
            </w:r>
            <w:r>
              <w:rPr>
                <w:rFonts w:hint="eastAsia" w:ascii="宋体" w:hAnsi="宋体" w:eastAsia="宋体"/>
                <w:kern w:val="0"/>
                <w:sz w:val="20"/>
              </w:rPr>
              <w:t>流域污染源治理</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宋体" w:hAnsi="宋体" w:eastAsia="宋体" w:cs="宋体"/>
                <w:kern w:val="0"/>
                <w:sz w:val="20"/>
              </w:rPr>
            </w:pPr>
            <w:r>
              <w:rPr>
                <w:rFonts w:hint="eastAsia" w:ascii="宋体" w:hAnsi="宋体" w:eastAsia="宋体" w:cs="宋体"/>
                <w:kern w:val="0"/>
                <w:sz w:val="20"/>
              </w:rPr>
              <w:t>农村连片环境综合整治</w:t>
            </w:r>
          </w:p>
        </w:tc>
        <w:tc>
          <w:tcPr>
            <w:tcW w:w="112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kern w:val="0"/>
                <w:sz w:val="20"/>
              </w:rPr>
            </w:pPr>
            <w:r>
              <w:rPr>
                <w:rFonts w:hint="eastAsia" w:ascii="宋体" w:hAnsi="宋体" w:eastAsia="宋体" w:cs="宋体"/>
                <w:kern w:val="0"/>
                <w:sz w:val="20"/>
              </w:rPr>
              <w:t>泮沙村、白企村、崖口村</w:t>
            </w:r>
          </w:p>
        </w:tc>
        <w:tc>
          <w:tcPr>
            <w:tcW w:w="98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宋体"/>
                <w:kern w:val="0"/>
                <w:sz w:val="20"/>
              </w:rPr>
            </w:pPr>
            <w:r>
              <w:rPr>
                <w:rFonts w:eastAsia="宋体"/>
                <w:kern w:val="0"/>
                <w:sz w:val="20"/>
              </w:rPr>
              <w:t>2017.8-2019.12</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宋体" w:hAnsi="宋体" w:eastAsia="宋体" w:cs="宋体"/>
                <w:kern w:val="0"/>
                <w:sz w:val="20"/>
              </w:rPr>
            </w:pPr>
            <w:r>
              <w:rPr>
                <w:rFonts w:hint="eastAsia" w:ascii="宋体" w:hAnsi="宋体" w:eastAsia="宋体" w:cs="宋体"/>
                <w:kern w:val="0"/>
                <w:sz w:val="20"/>
              </w:rPr>
              <w:t>镇农业农村局</w:t>
            </w:r>
          </w:p>
        </w:tc>
        <w:tc>
          <w:tcPr>
            <w:tcW w:w="1258" w:type="dxa"/>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宋体" w:hAnsi="宋体" w:eastAsia="宋体" w:cs="宋体"/>
                <w:kern w:val="0"/>
                <w:sz w:val="20"/>
              </w:rPr>
            </w:pPr>
            <w:r>
              <w:rPr>
                <w:rFonts w:hint="eastAsia" w:ascii="宋体" w:hAnsi="宋体" w:eastAsia="宋体" w:cs="宋体"/>
                <w:kern w:val="0"/>
                <w:sz w:val="20"/>
              </w:rPr>
              <w:t>镇环保分局、水利所、住房和城乡建设局、环卫所、财政分局</w:t>
            </w:r>
          </w:p>
        </w:tc>
        <w:tc>
          <w:tcPr>
            <w:tcW w:w="3887"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eastAsia="宋体" w:cs="宋体"/>
                <w:kern w:val="0"/>
                <w:sz w:val="20"/>
              </w:rPr>
            </w:pPr>
            <w:r>
              <w:rPr>
                <w:rFonts w:hint="eastAsia" w:ascii="宋体" w:hAnsi="宋体" w:eastAsia="宋体" w:cs="宋体"/>
                <w:kern w:val="0"/>
                <w:sz w:val="20"/>
              </w:rPr>
              <w:t>开展泮沙村、崖口村与白企村连片村庄环境综合整治工程，包括集中式饮用水源保护，生活污水、生活垃圾、畜禽养殖污染治理。</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宋体"/>
                <w:kern w:val="0"/>
                <w:sz w:val="20"/>
              </w:rPr>
            </w:pPr>
            <w:r>
              <w:rPr>
                <w:rFonts w:eastAsia="宋体"/>
                <w:kern w:val="0"/>
                <w:sz w:val="20"/>
              </w:rPr>
              <w:t>300</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宋体"/>
                <w:kern w:val="0"/>
                <w:sz w:val="20"/>
              </w:rPr>
            </w:pPr>
            <w:r>
              <w:rPr>
                <w:rFonts w:eastAsia="宋体"/>
                <w:kern w:val="0"/>
                <w:sz w:val="20"/>
              </w:rPr>
              <w:t>1-</w:t>
            </w:r>
            <w:r>
              <w:rPr>
                <w:rFonts w:hint="eastAsia" w:ascii="宋体" w:hAnsi="宋体" w:eastAsia="宋体"/>
                <w:kern w:val="0"/>
                <w:sz w:val="20"/>
              </w:rPr>
              <w:t>未开工</w:t>
            </w:r>
          </w:p>
        </w:tc>
      </w:tr>
      <w:tr>
        <w:tblPrEx>
          <w:tblCellMar>
            <w:top w:w="0" w:type="dxa"/>
            <w:left w:w="108" w:type="dxa"/>
            <w:bottom w:w="0" w:type="dxa"/>
            <w:right w:w="108" w:type="dxa"/>
          </w:tblCellMar>
        </w:tblPrEx>
        <w:trPr>
          <w:cantSplit/>
          <w:trHeight w:val="20" w:hRule="atLeast"/>
        </w:trPr>
        <w:tc>
          <w:tcPr>
            <w:tcW w:w="41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kern w:val="0"/>
                <w:sz w:val="20"/>
              </w:rPr>
            </w:pPr>
            <w:r>
              <w:rPr>
                <w:rFonts w:eastAsia="宋体"/>
                <w:kern w:val="0"/>
                <w:sz w:val="20"/>
              </w:rPr>
              <w:t>3</w:t>
            </w:r>
          </w:p>
        </w:tc>
        <w:tc>
          <w:tcPr>
            <w:tcW w:w="6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kern w:val="0"/>
                <w:sz w:val="20"/>
              </w:rPr>
            </w:pPr>
            <w:r>
              <w:rPr>
                <w:rFonts w:hint="eastAsia" w:ascii="宋体" w:hAnsi="宋体" w:eastAsia="宋体" w:cs="宋体"/>
                <w:kern w:val="0"/>
                <w:sz w:val="20"/>
              </w:rPr>
              <w:t>南朗镇</w:t>
            </w:r>
          </w:p>
        </w:tc>
        <w:tc>
          <w:tcPr>
            <w:tcW w:w="1114" w:type="dxa"/>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eastAsia="宋体"/>
                <w:kern w:val="0"/>
                <w:sz w:val="20"/>
              </w:rPr>
            </w:pPr>
            <w:r>
              <w:rPr>
                <w:rFonts w:eastAsia="宋体"/>
                <w:kern w:val="0"/>
                <w:sz w:val="20"/>
              </w:rPr>
              <w:t>2-</w:t>
            </w:r>
            <w:r>
              <w:rPr>
                <w:rFonts w:hint="eastAsia" w:ascii="宋体" w:hAnsi="宋体" w:eastAsia="宋体"/>
                <w:kern w:val="0"/>
                <w:sz w:val="20"/>
              </w:rPr>
              <w:t>流域污染源治理</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宋体" w:hAnsi="宋体" w:eastAsia="宋体" w:cs="宋体"/>
                <w:kern w:val="0"/>
                <w:sz w:val="20"/>
              </w:rPr>
            </w:pPr>
            <w:r>
              <w:rPr>
                <w:rFonts w:hint="eastAsia" w:ascii="宋体" w:hAnsi="宋体" w:eastAsia="宋体" w:cs="宋体"/>
                <w:kern w:val="0"/>
                <w:sz w:val="20"/>
              </w:rPr>
              <w:t>中山市南朗镇泮沙排洪渠流域农村及南朗工业园区生活污水治理工程</w:t>
            </w:r>
          </w:p>
        </w:tc>
        <w:tc>
          <w:tcPr>
            <w:tcW w:w="112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kern w:val="0"/>
                <w:sz w:val="20"/>
              </w:rPr>
            </w:pPr>
            <w:r>
              <w:rPr>
                <w:rFonts w:hint="eastAsia" w:ascii="宋体" w:hAnsi="宋体" w:eastAsia="宋体" w:cs="宋体"/>
                <w:kern w:val="0"/>
                <w:sz w:val="20"/>
              </w:rPr>
              <w:t>泮沙村、白企村、崖口村、南朗村</w:t>
            </w:r>
          </w:p>
        </w:tc>
        <w:tc>
          <w:tcPr>
            <w:tcW w:w="98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宋体"/>
                <w:kern w:val="0"/>
                <w:sz w:val="20"/>
              </w:rPr>
            </w:pPr>
            <w:r>
              <w:rPr>
                <w:rFonts w:eastAsia="宋体"/>
                <w:kern w:val="0"/>
                <w:sz w:val="20"/>
              </w:rPr>
              <w:t>2017.8-2020.12</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宋体" w:hAnsi="宋体" w:eastAsia="宋体" w:cs="宋体"/>
                <w:kern w:val="0"/>
                <w:sz w:val="20"/>
              </w:rPr>
            </w:pPr>
            <w:r>
              <w:rPr>
                <w:rFonts w:hint="eastAsia" w:ascii="宋体" w:hAnsi="宋体" w:eastAsia="宋体" w:cs="宋体"/>
                <w:kern w:val="0"/>
                <w:sz w:val="20"/>
              </w:rPr>
              <w:t>镇住房和城乡建设局</w:t>
            </w:r>
          </w:p>
        </w:tc>
        <w:tc>
          <w:tcPr>
            <w:tcW w:w="1258" w:type="dxa"/>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宋体" w:hAnsi="宋体" w:eastAsia="宋体" w:cs="宋体"/>
                <w:kern w:val="0"/>
                <w:sz w:val="20"/>
              </w:rPr>
            </w:pPr>
            <w:r>
              <w:rPr>
                <w:rFonts w:hint="eastAsia" w:ascii="宋体" w:hAnsi="宋体" w:eastAsia="宋体" w:cs="宋体"/>
                <w:kern w:val="0"/>
                <w:sz w:val="20"/>
              </w:rPr>
              <w:t>镇农业农村局、水利所、环保分局、规划分局、国土分局、财政分局、所在村委会</w:t>
            </w:r>
          </w:p>
        </w:tc>
        <w:tc>
          <w:tcPr>
            <w:tcW w:w="3887" w:type="dxa"/>
            <w:tcBorders>
              <w:top w:val="nil"/>
              <w:left w:val="nil"/>
              <w:bottom w:val="single" w:color="auto" w:sz="4" w:space="0"/>
              <w:right w:val="single" w:color="auto" w:sz="4" w:space="0"/>
            </w:tcBorders>
            <w:shd w:val="clear" w:color="auto" w:fill="auto"/>
            <w:vAlign w:val="center"/>
          </w:tcPr>
          <w:p>
            <w:pPr>
              <w:widowControl/>
              <w:adjustRightInd w:val="0"/>
              <w:snapToGrid w:val="0"/>
              <w:rPr>
                <w:rFonts w:ascii="宋体" w:hAnsi="宋体" w:eastAsia="宋体" w:cs="宋体"/>
                <w:kern w:val="0"/>
                <w:sz w:val="20"/>
              </w:rPr>
            </w:pPr>
            <w:r>
              <w:rPr>
                <w:rFonts w:hint="eastAsia" w:ascii="宋体" w:hAnsi="宋体" w:eastAsia="宋体" w:cs="宋体"/>
                <w:kern w:val="0"/>
                <w:sz w:val="20"/>
              </w:rPr>
              <w:t>对流域内泮沙村、白企村、崖口村以及南朗工业区、第二、第三工业区（含侨光、竹仔林、金朗等工业园区）的生活污水进行收集处理。</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宋体"/>
                <w:kern w:val="0"/>
                <w:sz w:val="20"/>
              </w:rPr>
            </w:pPr>
            <w:r>
              <w:rPr>
                <w:rFonts w:eastAsia="宋体"/>
                <w:kern w:val="0"/>
                <w:sz w:val="20"/>
              </w:rPr>
              <w:t>1200</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宋体"/>
                <w:kern w:val="0"/>
                <w:sz w:val="20"/>
              </w:rPr>
            </w:pPr>
            <w:r>
              <w:rPr>
                <w:rFonts w:eastAsia="宋体"/>
                <w:kern w:val="0"/>
                <w:sz w:val="20"/>
              </w:rPr>
              <w:t>1-</w:t>
            </w:r>
            <w:r>
              <w:rPr>
                <w:rFonts w:hint="eastAsia" w:ascii="宋体" w:hAnsi="宋体" w:eastAsia="宋体"/>
                <w:kern w:val="0"/>
                <w:sz w:val="20"/>
              </w:rPr>
              <w:t>未开工</w:t>
            </w:r>
          </w:p>
        </w:tc>
      </w:tr>
      <w:tr>
        <w:tblPrEx>
          <w:tblCellMar>
            <w:top w:w="0" w:type="dxa"/>
            <w:left w:w="108" w:type="dxa"/>
            <w:bottom w:w="0" w:type="dxa"/>
            <w:right w:w="108" w:type="dxa"/>
          </w:tblCellMar>
        </w:tblPrEx>
        <w:trPr>
          <w:cantSplit/>
          <w:trHeight w:val="20" w:hRule="atLeast"/>
        </w:trPr>
        <w:tc>
          <w:tcPr>
            <w:tcW w:w="41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eastAsia="宋体"/>
                <w:color w:val="auto"/>
                <w:kern w:val="0"/>
                <w:sz w:val="20"/>
              </w:rPr>
            </w:pPr>
            <w:r>
              <w:rPr>
                <w:rFonts w:eastAsia="宋体"/>
                <w:color w:val="auto"/>
                <w:kern w:val="0"/>
                <w:sz w:val="20"/>
              </w:rPr>
              <w:t>4</w:t>
            </w:r>
          </w:p>
        </w:tc>
        <w:tc>
          <w:tcPr>
            <w:tcW w:w="685"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ascii="宋体" w:hAnsi="宋体" w:eastAsia="宋体" w:cs="宋体"/>
                <w:color w:val="auto"/>
                <w:kern w:val="0"/>
                <w:sz w:val="20"/>
              </w:rPr>
            </w:pPr>
            <w:r>
              <w:rPr>
                <w:rFonts w:hint="eastAsia" w:ascii="宋体" w:hAnsi="宋体" w:eastAsia="宋体" w:cs="宋体"/>
                <w:color w:val="auto"/>
                <w:kern w:val="0"/>
                <w:sz w:val="20"/>
              </w:rPr>
              <w:t>南朗镇</w:t>
            </w:r>
          </w:p>
        </w:tc>
        <w:tc>
          <w:tcPr>
            <w:tcW w:w="1114"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left"/>
              <w:rPr>
                <w:rFonts w:eastAsia="宋体"/>
                <w:color w:val="auto"/>
                <w:kern w:val="0"/>
                <w:sz w:val="20"/>
              </w:rPr>
            </w:pPr>
            <w:r>
              <w:rPr>
                <w:rFonts w:eastAsia="宋体"/>
                <w:color w:val="auto"/>
                <w:kern w:val="0"/>
                <w:sz w:val="20"/>
              </w:rPr>
              <w:t>2-</w:t>
            </w:r>
            <w:r>
              <w:rPr>
                <w:rFonts w:hint="eastAsia" w:ascii="宋体" w:hAnsi="宋体" w:eastAsia="宋体"/>
                <w:color w:val="auto"/>
                <w:kern w:val="0"/>
                <w:sz w:val="20"/>
              </w:rPr>
              <w:t>流域污染源治理</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left"/>
              <w:rPr>
                <w:rFonts w:ascii="宋体" w:hAnsi="宋体" w:eastAsia="宋体" w:cs="宋体"/>
                <w:color w:val="auto"/>
                <w:kern w:val="0"/>
                <w:sz w:val="20"/>
              </w:rPr>
            </w:pPr>
            <w:r>
              <w:rPr>
                <w:rFonts w:hint="eastAsia" w:ascii="宋体" w:hAnsi="宋体" w:eastAsia="宋体" w:cs="宋体"/>
                <w:color w:val="auto"/>
                <w:kern w:val="0"/>
                <w:sz w:val="20"/>
              </w:rPr>
              <w:t>南朗镇横门污水处理厂一期提标改造工程</w:t>
            </w:r>
          </w:p>
        </w:tc>
        <w:tc>
          <w:tcPr>
            <w:tcW w:w="112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ascii="宋体" w:hAnsi="宋体" w:eastAsia="宋体" w:cs="宋体"/>
                <w:color w:val="auto"/>
                <w:kern w:val="0"/>
                <w:sz w:val="20"/>
              </w:rPr>
            </w:pPr>
            <w:r>
              <w:rPr>
                <w:rFonts w:hint="eastAsia" w:ascii="宋体" w:hAnsi="宋体" w:eastAsia="宋体" w:cs="宋体"/>
                <w:color w:val="auto"/>
                <w:kern w:val="0"/>
                <w:sz w:val="20"/>
              </w:rPr>
              <w:t>横门社区</w:t>
            </w:r>
          </w:p>
        </w:tc>
        <w:tc>
          <w:tcPr>
            <w:tcW w:w="98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eastAsia="宋体"/>
                <w:color w:val="auto"/>
                <w:kern w:val="0"/>
                <w:sz w:val="20"/>
              </w:rPr>
            </w:pPr>
            <w:r>
              <w:rPr>
                <w:rFonts w:eastAsia="宋体"/>
                <w:color w:val="auto"/>
                <w:kern w:val="0"/>
                <w:sz w:val="20"/>
              </w:rPr>
              <w:t>2017.1-2019.12</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left"/>
              <w:rPr>
                <w:rFonts w:ascii="宋体" w:hAnsi="宋体" w:eastAsia="宋体" w:cs="宋体"/>
                <w:color w:val="auto"/>
                <w:kern w:val="0"/>
                <w:sz w:val="20"/>
              </w:rPr>
            </w:pPr>
            <w:r>
              <w:rPr>
                <w:rFonts w:hint="eastAsia" w:ascii="宋体" w:hAnsi="宋体" w:eastAsia="宋体" w:cs="宋体"/>
                <w:color w:val="auto"/>
                <w:kern w:val="0"/>
                <w:sz w:val="20"/>
              </w:rPr>
              <w:t>镇水务公司</w:t>
            </w:r>
          </w:p>
        </w:tc>
        <w:tc>
          <w:tcPr>
            <w:tcW w:w="125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left"/>
              <w:rPr>
                <w:rFonts w:ascii="宋体" w:hAnsi="宋体" w:eastAsia="宋体" w:cs="宋体"/>
                <w:color w:val="auto"/>
                <w:kern w:val="0"/>
                <w:sz w:val="20"/>
              </w:rPr>
            </w:pPr>
            <w:r>
              <w:rPr>
                <w:rFonts w:hint="eastAsia" w:ascii="宋体" w:hAnsi="宋体" w:eastAsia="宋体" w:cs="宋体"/>
                <w:color w:val="auto"/>
                <w:kern w:val="0"/>
                <w:sz w:val="20"/>
              </w:rPr>
              <w:t>镇环保分局、住房和城乡建设局</w:t>
            </w:r>
          </w:p>
        </w:tc>
        <w:tc>
          <w:tcPr>
            <w:tcW w:w="3887"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rPr>
                <w:rFonts w:ascii="宋体" w:hAnsi="宋体" w:eastAsia="宋体" w:cs="宋体"/>
                <w:color w:val="auto"/>
                <w:kern w:val="0"/>
                <w:sz w:val="20"/>
              </w:rPr>
            </w:pPr>
            <w:r>
              <w:rPr>
                <w:rFonts w:hint="eastAsia" w:ascii="宋体" w:hAnsi="宋体" w:eastAsia="宋体" w:cs="宋体"/>
                <w:color w:val="auto"/>
                <w:kern w:val="0"/>
                <w:sz w:val="20"/>
              </w:rPr>
              <w:t>对南朗镇横门污水处理厂一期工程进行提标改造，提标改造后出水标准为GB18918-2002一级A与广东省地方标准《水污染物排放限值》（DB44/26-2001）的较严值。</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eastAsia="宋体"/>
                <w:color w:val="auto"/>
                <w:kern w:val="0"/>
                <w:sz w:val="20"/>
              </w:rPr>
            </w:pPr>
            <w:r>
              <w:rPr>
                <w:rFonts w:eastAsia="宋体"/>
                <w:color w:val="auto"/>
                <w:kern w:val="0"/>
                <w:sz w:val="20"/>
              </w:rPr>
              <w:t>2000</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eastAsia="宋体"/>
                <w:color w:val="auto"/>
                <w:kern w:val="0"/>
                <w:sz w:val="20"/>
              </w:rPr>
            </w:pPr>
            <w:r>
              <w:rPr>
                <w:rFonts w:eastAsia="宋体"/>
                <w:color w:val="auto"/>
                <w:kern w:val="0"/>
                <w:sz w:val="20"/>
              </w:rPr>
              <w:t>1-</w:t>
            </w:r>
            <w:r>
              <w:rPr>
                <w:rFonts w:hint="eastAsia" w:ascii="宋体" w:hAnsi="宋体" w:eastAsia="宋体"/>
                <w:color w:val="auto"/>
                <w:kern w:val="0"/>
                <w:sz w:val="20"/>
              </w:rPr>
              <w:t>未开工</w:t>
            </w:r>
          </w:p>
        </w:tc>
      </w:tr>
      <w:tr>
        <w:tblPrEx>
          <w:tblCellMar>
            <w:top w:w="0" w:type="dxa"/>
            <w:left w:w="108" w:type="dxa"/>
            <w:bottom w:w="0" w:type="dxa"/>
            <w:right w:w="108" w:type="dxa"/>
          </w:tblCellMar>
        </w:tblPrEx>
        <w:trPr>
          <w:cantSplit/>
          <w:trHeight w:val="20" w:hRule="atLeast"/>
        </w:trPr>
        <w:tc>
          <w:tcPr>
            <w:tcW w:w="41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eastAsia="宋体"/>
                <w:color w:val="auto"/>
                <w:kern w:val="0"/>
                <w:sz w:val="20"/>
              </w:rPr>
            </w:pPr>
            <w:r>
              <w:rPr>
                <w:rFonts w:hint="eastAsia" w:eastAsia="宋体"/>
                <w:color w:val="auto"/>
                <w:kern w:val="0"/>
                <w:sz w:val="20"/>
              </w:rPr>
              <w:t>5</w:t>
            </w:r>
          </w:p>
        </w:tc>
        <w:tc>
          <w:tcPr>
            <w:tcW w:w="685"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ascii="宋体" w:hAnsi="宋体" w:eastAsia="宋体" w:cs="宋体"/>
                <w:color w:val="auto"/>
                <w:kern w:val="0"/>
                <w:sz w:val="20"/>
              </w:rPr>
            </w:pPr>
            <w:r>
              <w:rPr>
                <w:rFonts w:hint="eastAsia" w:ascii="宋体" w:hAnsi="宋体" w:eastAsia="宋体" w:cs="宋体"/>
                <w:color w:val="auto"/>
                <w:kern w:val="0"/>
                <w:sz w:val="20"/>
              </w:rPr>
              <w:t>泮沙排洪渠流域</w:t>
            </w:r>
          </w:p>
        </w:tc>
        <w:tc>
          <w:tcPr>
            <w:tcW w:w="1114"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left"/>
              <w:rPr>
                <w:rFonts w:eastAsia="宋体"/>
                <w:color w:val="auto"/>
                <w:kern w:val="0"/>
                <w:sz w:val="20"/>
              </w:rPr>
            </w:pPr>
            <w:r>
              <w:rPr>
                <w:rFonts w:eastAsia="宋体"/>
                <w:color w:val="auto"/>
                <w:kern w:val="0"/>
                <w:sz w:val="20"/>
              </w:rPr>
              <w:t>2-</w:t>
            </w:r>
            <w:r>
              <w:rPr>
                <w:rFonts w:hint="eastAsia" w:ascii="宋体" w:hAnsi="宋体" w:eastAsia="宋体"/>
                <w:color w:val="auto"/>
                <w:kern w:val="0"/>
                <w:sz w:val="20"/>
              </w:rPr>
              <w:t>流域污染源治理</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left"/>
              <w:rPr>
                <w:rFonts w:ascii="宋体" w:hAnsi="宋体" w:eastAsia="宋体" w:cs="宋体"/>
                <w:color w:val="auto"/>
                <w:kern w:val="0"/>
                <w:sz w:val="20"/>
              </w:rPr>
            </w:pPr>
            <w:r>
              <w:rPr>
                <w:rFonts w:hint="eastAsia" w:ascii="宋体" w:hAnsi="宋体" w:eastAsia="宋体" w:cs="宋体"/>
                <w:color w:val="auto"/>
                <w:kern w:val="0"/>
                <w:sz w:val="20"/>
              </w:rPr>
              <w:t>泮沙排洪渠排污口截留工程</w:t>
            </w:r>
          </w:p>
        </w:tc>
        <w:tc>
          <w:tcPr>
            <w:tcW w:w="112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ascii="宋体" w:hAnsi="宋体" w:eastAsia="宋体" w:cs="宋体"/>
                <w:color w:val="auto"/>
                <w:kern w:val="0"/>
                <w:sz w:val="20"/>
              </w:rPr>
            </w:pPr>
            <w:r>
              <w:rPr>
                <w:rFonts w:hint="eastAsia" w:ascii="宋体" w:hAnsi="宋体" w:eastAsia="宋体" w:cs="宋体"/>
                <w:color w:val="auto"/>
                <w:kern w:val="0"/>
                <w:sz w:val="20"/>
              </w:rPr>
              <w:t>横门社区</w:t>
            </w:r>
            <w:r>
              <w:rPr>
                <w:rFonts w:ascii="宋体" w:hAnsi="宋体" w:eastAsia="宋体" w:cs="宋体"/>
                <w:color w:val="auto"/>
                <w:kern w:val="0"/>
                <w:sz w:val="20"/>
              </w:rPr>
              <w:t>、</w:t>
            </w:r>
            <w:r>
              <w:rPr>
                <w:rFonts w:hint="eastAsia" w:ascii="宋体" w:hAnsi="宋体" w:eastAsia="宋体" w:cs="宋体"/>
                <w:color w:val="auto"/>
                <w:kern w:val="0"/>
                <w:sz w:val="20"/>
              </w:rPr>
              <w:t>泮沙排洪渠流域</w:t>
            </w:r>
          </w:p>
        </w:tc>
        <w:tc>
          <w:tcPr>
            <w:tcW w:w="98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eastAsia="宋体"/>
                <w:color w:val="auto"/>
                <w:kern w:val="0"/>
                <w:sz w:val="20"/>
              </w:rPr>
            </w:pPr>
            <w:r>
              <w:rPr>
                <w:rFonts w:hint="eastAsia" w:eastAsia="宋体"/>
                <w:color w:val="auto"/>
                <w:kern w:val="0"/>
                <w:sz w:val="20"/>
              </w:rPr>
              <w:t>2017.1</w:t>
            </w:r>
            <w:r>
              <w:rPr>
                <w:rFonts w:eastAsia="宋体"/>
                <w:color w:val="auto"/>
                <w:kern w:val="0"/>
                <w:sz w:val="20"/>
              </w:rPr>
              <w:t>-2020</w:t>
            </w:r>
            <w:r>
              <w:rPr>
                <w:rFonts w:hint="eastAsia" w:eastAsia="宋体"/>
                <w:color w:val="auto"/>
                <w:kern w:val="0"/>
                <w:sz w:val="20"/>
              </w:rPr>
              <w:t>.12</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left"/>
              <w:rPr>
                <w:rFonts w:ascii="宋体" w:hAnsi="宋体" w:eastAsia="宋体" w:cs="宋体"/>
                <w:color w:val="auto"/>
                <w:kern w:val="0"/>
                <w:sz w:val="20"/>
              </w:rPr>
            </w:pPr>
            <w:r>
              <w:rPr>
                <w:rFonts w:hint="eastAsia" w:ascii="宋体" w:hAnsi="宋体" w:eastAsia="宋体" w:cs="宋体"/>
                <w:color w:val="auto"/>
                <w:kern w:val="0"/>
                <w:sz w:val="20"/>
              </w:rPr>
              <w:t>镇住房和城乡建设局、镇水务公司</w:t>
            </w:r>
          </w:p>
        </w:tc>
        <w:tc>
          <w:tcPr>
            <w:tcW w:w="125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ascii="宋体" w:hAnsi="宋体" w:eastAsia="宋体" w:cs="宋体"/>
                <w:color w:val="auto"/>
                <w:kern w:val="0"/>
                <w:sz w:val="20"/>
              </w:rPr>
            </w:pPr>
            <w:r>
              <w:rPr>
                <w:rFonts w:hint="eastAsia" w:ascii="宋体" w:hAnsi="宋体" w:eastAsia="宋体" w:cs="宋体"/>
                <w:color w:val="auto"/>
                <w:kern w:val="0"/>
                <w:sz w:val="20"/>
              </w:rPr>
              <w:t>镇环保分局、</w:t>
            </w:r>
            <w:r>
              <w:rPr>
                <w:rFonts w:ascii="宋体" w:hAnsi="宋体" w:eastAsia="宋体" w:cs="宋体"/>
                <w:color w:val="auto"/>
                <w:kern w:val="0"/>
                <w:sz w:val="20"/>
              </w:rPr>
              <w:t>水利所</w:t>
            </w:r>
            <w:r>
              <w:rPr>
                <w:rFonts w:hint="eastAsia" w:ascii="宋体" w:hAnsi="宋体" w:eastAsia="宋体" w:cs="宋体"/>
                <w:color w:val="auto"/>
                <w:kern w:val="0"/>
                <w:sz w:val="20"/>
              </w:rPr>
              <w:t>、财政分局</w:t>
            </w:r>
          </w:p>
        </w:tc>
        <w:tc>
          <w:tcPr>
            <w:tcW w:w="3887"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rPr>
                <w:rFonts w:ascii="宋体" w:hAnsi="宋体" w:eastAsia="宋体" w:cs="宋体"/>
                <w:color w:val="auto"/>
                <w:kern w:val="0"/>
                <w:sz w:val="20"/>
              </w:rPr>
            </w:pPr>
            <w:r>
              <w:rPr>
                <w:rFonts w:hint="eastAsia" w:ascii="宋体" w:hAnsi="宋体" w:eastAsia="宋体" w:cs="宋体"/>
                <w:color w:val="auto"/>
                <w:kern w:val="0"/>
                <w:sz w:val="20"/>
              </w:rPr>
              <w:t>对泮沙排洪渠所有排污口进行截留，通过就近建设分散式污水处理设施或输送至污水处理厂处理等方式对截留污水进行处理。工</w:t>
            </w:r>
            <w:r>
              <w:rPr>
                <w:rFonts w:ascii="宋体" w:hAnsi="宋体" w:eastAsia="宋体" w:cs="宋体"/>
                <w:color w:val="auto"/>
                <w:kern w:val="0"/>
                <w:sz w:val="20"/>
              </w:rPr>
              <w:t>业</w:t>
            </w:r>
            <w:r>
              <w:rPr>
                <w:rFonts w:hint="eastAsia" w:ascii="宋体" w:hAnsi="宋体" w:eastAsia="宋体" w:cs="宋体"/>
                <w:color w:val="auto"/>
                <w:kern w:val="0"/>
                <w:sz w:val="20"/>
              </w:rPr>
              <w:t>污水排入</w:t>
            </w:r>
            <w:r>
              <w:rPr>
                <w:rFonts w:ascii="宋体" w:hAnsi="宋体" w:eastAsia="宋体" w:cs="宋体"/>
                <w:color w:val="auto"/>
                <w:kern w:val="0"/>
                <w:sz w:val="20"/>
              </w:rPr>
              <w:t>截留系统</w:t>
            </w:r>
            <w:r>
              <w:rPr>
                <w:rFonts w:hint="eastAsia" w:ascii="宋体" w:hAnsi="宋体" w:eastAsia="宋体" w:cs="宋体"/>
                <w:color w:val="auto"/>
                <w:kern w:val="0"/>
                <w:sz w:val="20"/>
              </w:rPr>
              <w:t>的企业需要对工业污水进行预处理至接纳污水处理厂提出的接管标准。</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eastAsia="宋体"/>
                <w:color w:val="auto"/>
                <w:kern w:val="0"/>
                <w:sz w:val="20"/>
              </w:rPr>
            </w:pPr>
            <w:r>
              <w:rPr>
                <w:rFonts w:hint="eastAsia" w:eastAsia="宋体"/>
                <w:color w:val="auto"/>
                <w:kern w:val="0"/>
                <w:sz w:val="20"/>
              </w:rPr>
              <w:t>5000</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eastAsia="宋体"/>
                <w:color w:val="auto"/>
                <w:kern w:val="0"/>
                <w:sz w:val="20"/>
              </w:rPr>
            </w:pPr>
            <w:r>
              <w:rPr>
                <w:rFonts w:eastAsia="宋体"/>
                <w:color w:val="auto"/>
                <w:kern w:val="0"/>
                <w:sz w:val="20"/>
              </w:rPr>
              <w:t>1-</w:t>
            </w:r>
            <w:r>
              <w:rPr>
                <w:rFonts w:hint="eastAsia" w:ascii="宋体" w:hAnsi="宋体" w:eastAsia="宋体"/>
                <w:color w:val="auto"/>
                <w:kern w:val="0"/>
                <w:sz w:val="20"/>
              </w:rPr>
              <w:t>未开工</w:t>
            </w:r>
          </w:p>
        </w:tc>
      </w:tr>
      <w:tr>
        <w:tblPrEx>
          <w:tblCellMar>
            <w:top w:w="0" w:type="dxa"/>
            <w:left w:w="108" w:type="dxa"/>
            <w:bottom w:w="0" w:type="dxa"/>
            <w:right w:w="108" w:type="dxa"/>
          </w:tblCellMar>
        </w:tblPrEx>
        <w:trPr>
          <w:cantSplit/>
          <w:trHeight w:val="20" w:hRule="atLeast"/>
        </w:trPr>
        <w:tc>
          <w:tcPr>
            <w:tcW w:w="41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eastAsia="宋体"/>
                <w:kern w:val="0"/>
                <w:sz w:val="20"/>
              </w:rPr>
            </w:pPr>
            <w:r>
              <w:rPr>
                <w:rFonts w:eastAsia="宋体"/>
                <w:kern w:val="0"/>
                <w:sz w:val="20"/>
              </w:rPr>
              <w:t>6</w:t>
            </w:r>
          </w:p>
        </w:tc>
        <w:tc>
          <w:tcPr>
            <w:tcW w:w="685"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ascii="宋体" w:hAnsi="宋体" w:eastAsia="宋体" w:cs="宋体"/>
                <w:kern w:val="0"/>
                <w:sz w:val="20"/>
              </w:rPr>
            </w:pPr>
            <w:r>
              <w:rPr>
                <w:rFonts w:hint="eastAsia" w:ascii="宋体" w:hAnsi="宋体" w:eastAsia="宋体" w:cs="宋体"/>
                <w:kern w:val="0"/>
                <w:sz w:val="20"/>
              </w:rPr>
              <w:t>南朗镇</w:t>
            </w:r>
          </w:p>
        </w:tc>
        <w:tc>
          <w:tcPr>
            <w:tcW w:w="1114"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left"/>
              <w:rPr>
                <w:rFonts w:eastAsia="宋体"/>
                <w:kern w:val="0"/>
                <w:sz w:val="20"/>
              </w:rPr>
            </w:pPr>
            <w:r>
              <w:rPr>
                <w:rFonts w:eastAsia="宋体"/>
                <w:kern w:val="0"/>
                <w:sz w:val="20"/>
              </w:rPr>
              <w:t>2-</w:t>
            </w:r>
            <w:r>
              <w:rPr>
                <w:rFonts w:hint="eastAsia" w:ascii="宋体" w:hAnsi="宋体" w:eastAsia="宋体"/>
                <w:kern w:val="0"/>
                <w:sz w:val="20"/>
              </w:rPr>
              <w:t>流域污染源治理</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left"/>
              <w:rPr>
                <w:rFonts w:ascii="宋体" w:hAnsi="宋体" w:eastAsia="宋体" w:cs="宋体"/>
                <w:kern w:val="0"/>
                <w:sz w:val="20"/>
              </w:rPr>
            </w:pPr>
            <w:r>
              <w:rPr>
                <w:rFonts w:hint="eastAsia" w:ascii="宋体" w:hAnsi="宋体" w:eastAsia="宋体" w:cs="宋体"/>
                <w:kern w:val="0"/>
                <w:sz w:val="20"/>
              </w:rPr>
              <w:t>农田生态拦截带和生态沟渠建设试点工程</w:t>
            </w:r>
          </w:p>
        </w:tc>
        <w:tc>
          <w:tcPr>
            <w:tcW w:w="112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ascii="宋体" w:hAnsi="宋体" w:eastAsia="宋体" w:cs="宋体"/>
                <w:kern w:val="0"/>
                <w:sz w:val="20"/>
              </w:rPr>
            </w:pPr>
            <w:r>
              <w:rPr>
                <w:rFonts w:hint="eastAsia" w:ascii="宋体" w:hAnsi="宋体" w:eastAsia="宋体" w:cs="宋体"/>
                <w:kern w:val="0"/>
                <w:sz w:val="20"/>
              </w:rPr>
              <w:t>泮沙排洪渠流域</w:t>
            </w:r>
          </w:p>
        </w:tc>
        <w:tc>
          <w:tcPr>
            <w:tcW w:w="98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eastAsia="宋体"/>
                <w:kern w:val="0"/>
                <w:sz w:val="20"/>
              </w:rPr>
            </w:pPr>
            <w:r>
              <w:rPr>
                <w:rFonts w:eastAsia="宋体"/>
                <w:kern w:val="0"/>
                <w:sz w:val="20"/>
              </w:rPr>
              <w:t>2017.2-2019.12</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left"/>
              <w:rPr>
                <w:rFonts w:ascii="宋体" w:hAnsi="宋体" w:eastAsia="宋体" w:cs="宋体"/>
                <w:kern w:val="0"/>
                <w:sz w:val="20"/>
              </w:rPr>
            </w:pPr>
            <w:r>
              <w:rPr>
                <w:rFonts w:hint="eastAsia" w:ascii="宋体" w:hAnsi="宋体" w:eastAsia="宋体" w:cs="宋体"/>
                <w:kern w:val="0"/>
                <w:sz w:val="20"/>
              </w:rPr>
              <w:t>镇水利所</w:t>
            </w:r>
          </w:p>
        </w:tc>
        <w:tc>
          <w:tcPr>
            <w:tcW w:w="125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left"/>
              <w:rPr>
                <w:rFonts w:ascii="宋体" w:hAnsi="宋体" w:eastAsia="宋体" w:cs="宋体"/>
                <w:kern w:val="0"/>
                <w:sz w:val="20"/>
              </w:rPr>
            </w:pPr>
            <w:r>
              <w:rPr>
                <w:rFonts w:hint="eastAsia" w:ascii="宋体" w:hAnsi="宋体" w:eastAsia="宋体" w:cs="宋体"/>
                <w:kern w:val="0"/>
                <w:sz w:val="20"/>
              </w:rPr>
              <w:t>镇农业农村局、住房和城乡建设局</w:t>
            </w:r>
          </w:p>
        </w:tc>
        <w:tc>
          <w:tcPr>
            <w:tcW w:w="3887"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before="289" w:beforeLines="50" w:after="289" w:afterLines="50"/>
              <w:jc w:val="left"/>
              <w:rPr>
                <w:rFonts w:ascii="宋体" w:hAnsi="宋体" w:eastAsia="宋体" w:cs="宋体"/>
                <w:kern w:val="0"/>
                <w:sz w:val="20"/>
              </w:rPr>
            </w:pPr>
            <w:r>
              <w:rPr>
                <w:rFonts w:hint="eastAsia" w:ascii="宋体" w:hAnsi="宋体" w:eastAsia="宋体" w:cs="宋体"/>
                <w:kern w:val="0"/>
                <w:sz w:val="20"/>
              </w:rPr>
              <w:t>在泮沙排洪渠沿岸农田面积较大、农作物较多的片区选定</w:t>
            </w:r>
            <w:r>
              <w:rPr>
                <w:rFonts w:ascii="宋体" w:hAnsi="宋体" w:eastAsia="宋体" w:cs="宋体"/>
                <w:kern w:val="0"/>
                <w:sz w:val="20"/>
              </w:rPr>
              <w:t>农田</w:t>
            </w:r>
            <w:r>
              <w:rPr>
                <w:rFonts w:hint="eastAsia" w:ascii="宋体" w:hAnsi="宋体" w:eastAsia="宋体" w:cs="宋体"/>
                <w:kern w:val="0"/>
                <w:sz w:val="20"/>
              </w:rPr>
              <w:t>开</w:t>
            </w:r>
            <w:r>
              <w:rPr>
                <w:rFonts w:ascii="宋体" w:hAnsi="宋体" w:eastAsia="宋体" w:cs="宋体"/>
                <w:kern w:val="0"/>
                <w:sz w:val="20"/>
              </w:rPr>
              <w:t>展试点</w:t>
            </w:r>
            <w:r>
              <w:rPr>
                <w:rFonts w:hint="eastAsia" w:ascii="宋体" w:hAnsi="宋体" w:eastAsia="宋体" w:cs="宋体"/>
                <w:kern w:val="0"/>
                <w:sz w:val="20"/>
              </w:rPr>
              <w:t>工</w:t>
            </w:r>
            <w:r>
              <w:rPr>
                <w:rFonts w:ascii="宋体" w:hAnsi="宋体" w:eastAsia="宋体" w:cs="宋体"/>
                <w:kern w:val="0"/>
                <w:sz w:val="20"/>
              </w:rPr>
              <w:t>程</w:t>
            </w:r>
            <w:r>
              <w:rPr>
                <w:rFonts w:hint="eastAsia" w:ascii="宋体" w:hAnsi="宋体" w:eastAsia="宋体" w:cs="宋体"/>
                <w:kern w:val="0"/>
                <w:sz w:val="20"/>
              </w:rPr>
              <w:t>，建设生态拦截带和生态拦截沟渠。</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eastAsia="宋体"/>
                <w:kern w:val="0"/>
                <w:sz w:val="20"/>
              </w:rPr>
            </w:pPr>
            <w:r>
              <w:rPr>
                <w:rFonts w:eastAsia="宋体"/>
                <w:kern w:val="0"/>
                <w:sz w:val="20"/>
              </w:rPr>
              <w:t>100</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289" w:beforeLines="50" w:after="289" w:afterLines="50"/>
              <w:jc w:val="center"/>
              <w:rPr>
                <w:rFonts w:eastAsia="宋体"/>
                <w:kern w:val="0"/>
                <w:sz w:val="20"/>
              </w:rPr>
            </w:pPr>
            <w:r>
              <w:rPr>
                <w:rFonts w:eastAsia="宋体"/>
                <w:kern w:val="0"/>
                <w:sz w:val="20"/>
              </w:rPr>
              <w:t>1-</w:t>
            </w:r>
            <w:r>
              <w:rPr>
                <w:rFonts w:hint="eastAsia" w:ascii="宋体" w:hAnsi="宋体" w:eastAsia="宋体"/>
                <w:kern w:val="0"/>
                <w:sz w:val="20"/>
              </w:rPr>
              <w:t>未开工</w:t>
            </w:r>
          </w:p>
        </w:tc>
      </w:tr>
      <w:tr>
        <w:tblPrEx>
          <w:tblCellMar>
            <w:top w:w="0" w:type="dxa"/>
            <w:left w:w="108" w:type="dxa"/>
            <w:bottom w:w="0" w:type="dxa"/>
            <w:right w:w="108" w:type="dxa"/>
          </w:tblCellMar>
        </w:tblPrEx>
        <w:trPr>
          <w:cantSplit/>
          <w:trHeight w:val="20" w:hRule="atLeast"/>
        </w:trPr>
        <w:tc>
          <w:tcPr>
            <w:tcW w:w="41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color w:val="auto"/>
                <w:kern w:val="0"/>
                <w:sz w:val="20"/>
              </w:rPr>
            </w:pPr>
            <w:r>
              <w:rPr>
                <w:rFonts w:eastAsia="宋体"/>
                <w:color w:val="auto"/>
                <w:kern w:val="0"/>
                <w:sz w:val="20"/>
              </w:rPr>
              <w:t>7</w:t>
            </w:r>
          </w:p>
        </w:tc>
        <w:tc>
          <w:tcPr>
            <w:tcW w:w="685"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color w:val="auto"/>
                <w:kern w:val="0"/>
                <w:sz w:val="20"/>
              </w:rPr>
            </w:pPr>
            <w:r>
              <w:rPr>
                <w:rFonts w:hint="eastAsia" w:ascii="宋体" w:hAnsi="宋体" w:eastAsia="宋体" w:cs="宋体"/>
                <w:color w:val="auto"/>
                <w:kern w:val="0"/>
                <w:sz w:val="20"/>
              </w:rPr>
              <w:t>泮沙排洪渠流域</w:t>
            </w:r>
          </w:p>
        </w:tc>
        <w:tc>
          <w:tcPr>
            <w:tcW w:w="1114"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eastAsia="宋体"/>
                <w:color w:val="auto"/>
                <w:kern w:val="0"/>
                <w:sz w:val="20"/>
              </w:rPr>
            </w:pPr>
            <w:r>
              <w:rPr>
                <w:rFonts w:eastAsia="宋体"/>
                <w:color w:val="auto"/>
                <w:kern w:val="0"/>
                <w:sz w:val="20"/>
              </w:rPr>
              <w:t>3-</w:t>
            </w:r>
            <w:r>
              <w:rPr>
                <w:rFonts w:hint="eastAsia" w:ascii="宋体" w:hAnsi="宋体" w:eastAsia="宋体"/>
                <w:color w:val="auto"/>
                <w:kern w:val="0"/>
                <w:sz w:val="20"/>
              </w:rPr>
              <w:t>流域生态修复与保护</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color w:val="auto"/>
                <w:kern w:val="0"/>
                <w:sz w:val="20"/>
              </w:rPr>
            </w:pPr>
            <w:r>
              <w:rPr>
                <w:rFonts w:hint="eastAsia" w:ascii="宋体" w:hAnsi="宋体" w:eastAsia="宋体" w:cs="宋体"/>
                <w:color w:val="auto"/>
                <w:kern w:val="0"/>
                <w:sz w:val="20"/>
              </w:rPr>
              <w:t>泮沙排洪渠整治</w:t>
            </w:r>
          </w:p>
        </w:tc>
        <w:tc>
          <w:tcPr>
            <w:tcW w:w="112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color w:val="auto"/>
                <w:kern w:val="0"/>
                <w:sz w:val="20"/>
              </w:rPr>
            </w:pPr>
            <w:r>
              <w:rPr>
                <w:rFonts w:hint="eastAsia" w:ascii="宋体" w:hAnsi="宋体" w:eastAsia="宋体" w:cs="宋体"/>
                <w:color w:val="auto"/>
                <w:kern w:val="0"/>
                <w:sz w:val="20"/>
              </w:rPr>
              <w:t>泮沙排洪渠流域</w:t>
            </w:r>
          </w:p>
        </w:tc>
        <w:tc>
          <w:tcPr>
            <w:tcW w:w="98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color w:val="auto"/>
                <w:kern w:val="0"/>
                <w:sz w:val="20"/>
              </w:rPr>
            </w:pPr>
            <w:r>
              <w:rPr>
                <w:rFonts w:eastAsia="宋体"/>
                <w:color w:val="auto"/>
                <w:kern w:val="0"/>
                <w:sz w:val="20"/>
              </w:rPr>
              <w:t>2017.2-2019.12</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color w:val="auto"/>
                <w:kern w:val="0"/>
                <w:sz w:val="20"/>
              </w:rPr>
            </w:pPr>
            <w:r>
              <w:rPr>
                <w:rFonts w:hint="eastAsia" w:ascii="宋体" w:hAnsi="宋体" w:eastAsia="宋体" w:cs="宋体"/>
                <w:color w:val="auto"/>
                <w:kern w:val="0"/>
                <w:sz w:val="20"/>
              </w:rPr>
              <w:t>镇水利所</w:t>
            </w:r>
          </w:p>
        </w:tc>
        <w:tc>
          <w:tcPr>
            <w:tcW w:w="125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color w:val="auto"/>
                <w:kern w:val="0"/>
                <w:sz w:val="20"/>
              </w:rPr>
            </w:pPr>
            <w:r>
              <w:rPr>
                <w:rFonts w:hint="eastAsia" w:ascii="宋体" w:hAnsi="宋体" w:eastAsia="宋体" w:cs="宋体"/>
                <w:color w:val="auto"/>
                <w:kern w:val="0"/>
                <w:sz w:val="20"/>
              </w:rPr>
              <w:t>镇住房和城乡建设局、环保分局、</w:t>
            </w:r>
            <w:r>
              <w:rPr>
                <w:rFonts w:ascii="宋体" w:hAnsi="宋体" w:eastAsia="宋体" w:cs="宋体"/>
                <w:color w:val="auto"/>
                <w:kern w:val="0"/>
                <w:sz w:val="20"/>
              </w:rPr>
              <w:t>财政分局</w:t>
            </w:r>
          </w:p>
        </w:tc>
        <w:tc>
          <w:tcPr>
            <w:tcW w:w="3887"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before="115" w:beforeLines="20" w:after="115" w:afterLines="20"/>
              <w:jc w:val="left"/>
              <w:rPr>
                <w:rFonts w:ascii="宋体" w:hAnsi="宋体" w:eastAsia="宋体" w:cs="宋体"/>
                <w:color w:val="auto"/>
                <w:kern w:val="0"/>
                <w:sz w:val="20"/>
              </w:rPr>
            </w:pPr>
            <w:r>
              <w:rPr>
                <w:rFonts w:hint="eastAsia" w:ascii="宋体" w:hAnsi="宋体" w:eastAsia="宋体" w:cs="宋体"/>
                <w:color w:val="auto"/>
                <w:kern w:val="0"/>
                <w:sz w:val="20"/>
              </w:rPr>
              <w:t>在雨污分流工作的基础上，按照“截污、清淤、活源、治堤”的总体思路，开展河道清淤、清障，进行整治和堤防建设工程。整治内容包括对观音座新路与南合路交叉路口至泮沙小桥段约9公里河道进行清淤、疏浚，清除河道内源污染，改善河涌排水条件；采用生态护岸措施，建设河道两岸的生态景观；外源清理工程：清理在河道管理范围内的违法违章建筑物和</w:t>
            </w:r>
            <w:r>
              <w:rPr>
                <w:rFonts w:ascii="宋体" w:hAnsi="宋体" w:eastAsia="宋体" w:cs="宋体"/>
                <w:color w:val="auto"/>
                <w:kern w:val="0"/>
                <w:sz w:val="20"/>
              </w:rPr>
              <w:t>构建物</w:t>
            </w:r>
            <w:r>
              <w:rPr>
                <w:rFonts w:hint="eastAsia" w:ascii="宋体" w:hAnsi="宋体" w:eastAsia="宋体" w:cs="宋体"/>
                <w:color w:val="auto"/>
                <w:kern w:val="0"/>
                <w:sz w:val="20"/>
              </w:rPr>
              <w:t>；拆除两岸沙场、砖场、石场等乱建、乱堆、乱放、乱挖等违章设施；拆除、清理沿岸范围内和河床中的垃圾堆放场；清理河道内的所有加油设施；定期打捞河道水浮莲等杂物。</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color w:val="auto"/>
                <w:kern w:val="0"/>
                <w:sz w:val="20"/>
              </w:rPr>
            </w:pPr>
            <w:r>
              <w:rPr>
                <w:rFonts w:eastAsia="宋体"/>
                <w:color w:val="auto"/>
                <w:kern w:val="0"/>
                <w:sz w:val="20"/>
              </w:rPr>
              <w:t>1000</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color w:val="auto"/>
                <w:kern w:val="0"/>
                <w:sz w:val="20"/>
              </w:rPr>
            </w:pPr>
            <w:r>
              <w:rPr>
                <w:rFonts w:eastAsia="宋体"/>
                <w:color w:val="auto"/>
                <w:kern w:val="0"/>
                <w:sz w:val="20"/>
              </w:rPr>
              <w:t>1-</w:t>
            </w:r>
            <w:r>
              <w:rPr>
                <w:rFonts w:hint="eastAsia" w:ascii="宋体" w:hAnsi="宋体" w:eastAsia="宋体"/>
                <w:color w:val="auto"/>
                <w:kern w:val="0"/>
                <w:sz w:val="20"/>
              </w:rPr>
              <w:t>未开工</w:t>
            </w:r>
          </w:p>
        </w:tc>
      </w:tr>
      <w:tr>
        <w:tblPrEx>
          <w:tblCellMar>
            <w:top w:w="0" w:type="dxa"/>
            <w:left w:w="108" w:type="dxa"/>
            <w:bottom w:w="0" w:type="dxa"/>
            <w:right w:w="108" w:type="dxa"/>
          </w:tblCellMar>
        </w:tblPrEx>
        <w:trPr>
          <w:cantSplit/>
          <w:trHeight w:val="20" w:hRule="atLeast"/>
        </w:trPr>
        <w:tc>
          <w:tcPr>
            <w:tcW w:w="41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8</w:t>
            </w:r>
          </w:p>
        </w:tc>
        <w:tc>
          <w:tcPr>
            <w:tcW w:w="685"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全市范围</w:t>
            </w:r>
          </w:p>
        </w:tc>
        <w:tc>
          <w:tcPr>
            <w:tcW w:w="1114"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eastAsia="宋体"/>
                <w:kern w:val="0"/>
                <w:sz w:val="20"/>
              </w:rPr>
            </w:pPr>
            <w:r>
              <w:rPr>
                <w:rFonts w:eastAsia="宋体"/>
                <w:kern w:val="0"/>
                <w:sz w:val="20"/>
              </w:rPr>
              <w:t>4-</w:t>
            </w:r>
            <w:r>
              <w:rPr>
                <w:rFonts w:hint="eastAsia" w:ascii="宋体" w:hAnsi="宋体" w:eastAsia="宋体"/>
                <w:kern w:val="0"/>
                <w:sz w:val="20"/>
              </w:rPr>
              <w:t>环境监管能力建设</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环境应急管理标准化建设</w:t>
            </w:r>
          </w:p>
        </w:tc>
        <w:tc>
          <w:tcPr>
            <w:tcW w:w="112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全市范围</w:t>
            </w:r>
          </w:p>
        </w:tc>
        <w:tc>
          <w:tcPr>
            <w:tcW w:w="98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2016.1-2019.12</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中山市环保局</w:t>
            </w:r>
          </w:p>
        </w:tc>
        <w:tc>
          <w:tcPr>
            <w:tcW w:w="125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镇环保分局、国土分局</w:t>
            </w:r>
          </w:p>
        </w:tc>
        <w:tc>
          <w:tcPr>
            <w:tcW w:w="3887"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对南朗镇的地形地势、环境风险行业类型分布、事故多发类型等实际情况开展调研工作，并制定标准化建设方案。</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40</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w:t>
            </w:r>
            <w:r>
              <w:rPr>
                <w:rFonts w:hint="eastAsia" w:ascii="宋体" w:hAnsi="宋体" w:eastAsia="宋体"/>
                <w:kern w:val="0"/>
                <w:sz w:val="20"/>
              </w:rPr>
              <w:t>在建</w:t>
            </w:r>
          </w:p>
        </w:tc>
      </w:tr>
      <w:tr>
        <w:tblPrEx>
          <w:tblCellMar>
            <w:top w:w="0" w:type="dxa"/>
            <w:left w:w="108" w:type="dxa"/>
            <w:bottom w:w="0" w:type="dxa"/>
            <w:right w:w="108" w:type="dxa"/>
          </w:tblCellMar>
        </w:tblPrEx>
        <w:trPr>
          <w:cantSplit/>
          <w:trHeight w:val="20" w:hRule="atLeast"/>
        </w:trPr>
        <w:tc>
          <w:tcPr>
            <w:tcW w:w="41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hint="eastAsia" w:eastAsia="宋体"/>
                <w:kern w:val="0"/>
                <w:sz w:val="20"/>
                <w:lang w:eastAsia="zh-CN"/>
              </w:rPr>
            </w:pPr>
            <w:r>
              <w:rPr>
                <w:rFonts w:hint="eastAsia" w:eastAsia="宋体"/>
                <w:kern w:val="0"/>
                <w:sz w:val="20"/>
                <w:lang w:val="en-US" w:eastAsia="zh-CN"/>
              </w:rPr>
              <w:t>9</w:t>
            </w:r>
          </w:p>
        </w:tc>
        <w:tc>
          <w:tcPr>
            <w:tcW w:w="685"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全市范围</w:t>
            </w:r>
          </w:p>
        </w:tc>
        <w:tc>
          <w:tcPr>
            <w:tcW w:w="1114"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eastAsia="宋体"/>
                <w:kern w:val="0"/>
                <w:sz w:val="20"/>
              </w:rPr>
            </w:pPr>
            <w:r>
              <w:rPr>
                <w:rFonts w:eastAsia="宋体"/>
                <w:kern w:val="0"/>
                <w:sz w:val="20"/>
              </w:rPr>
              <w:t>4-</w:t>
            </w:r>
            <w:r>
              <w:rPr>
                <w:rFonts w:hint="eastAsia" w:ascii="宋体" w:hAnsi="宋体" w:eastAsia="宋体"/>
                <w:kern w:val="0"/>
                <w:sz w:val="20"/>
              </w:rPr>
              <w:t>环境监管能力建设</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环境宣教能力建设</w:t>
            </w:r>
          </w:p>
        </w:tc>
        <w:tc>
          <w:tcPr>
            <w:tcW w:w="112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全市范围</w:t>
            </w:r>
          </w:p>
        </w:tc>
        <w:tc>
          <w:tcPr>
            <w:tcW w:w="98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2016.1-2019.12</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中山市环保局</w:t>
            </w:r>
          </w:p>
        </w:tc>
        <w:tc>
          <w:tcPr>
            <w:tcW w:w="125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镇环保分局、宣传办公室</w:t>
            </w:r>
          </w:p>
        </w:tc>
        <w:tc>
          <w:tcPr>
            <w:tcW w:w="3887"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环境宣教机构标准化建设。建立专业化宣传教育队伍，完善宣教设施设备，建立环境宣传教育培训基地等。开展农村环保宣传教育。</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600</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w:t>
            </w:r>
            <w:r>
              <w:rPr>
                <w:rFonts w:hint="eastAsia" w:ascii="宋体" w:hAnsi="宋体" w:eastAsia="宋体"/>
                <w:kern w:val="0"/>
                <w:sz w:val="20"/>
              </w:rPr>
              <w:t>在建</w:t>
            </w:r>
          </w:p>
        </w:tc>
      </w:tr>
      <w:tr>
        <w:tblPrEx>
          <w:tblCellMar>
            <w:top w:w="0" w:type="dxa"/>
            <w:left w:w="108" w:type="dxa"/>
            <w:bottom w:w="0" w:type="dxa"/>
            <w:right w:w="108" w:type="dxa"/>
          </w:tblCellMar>
        </w:tblPrEx>
        <w:trPr>
          <w:cantSplit/>
          <w:trHeight w:val="20" w:hRule="atLeast"/>
        </w:trPr>
        <w:tc>
          <w:tcPr>
            <w:tcW w:w="41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1</w:t>
            </w:r>
            <w:r>
              <w:rPr>
                <w:rFonts w:hint="eastAsia" w:eastAsia="宋体"/>
                <w:kern w:val="0"/>
                <w:sz w:val="20"/>
                <w:lang w:val="en-US" w:eastAsia="zh-CN"/>
              </w:rPr>
              <w:t>0</w:t>
            </w:r>
          </w:p>
        </w:tc>
        <w:tc>
          <w:tcPr>
            <w:tcW w:w="685"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全市范围</w:t>
            </w:r>
          </w:p>
        </w:tc>
        <w:tc>
          <w:tcPr>
            <w:tcW w:w="1114"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eastAsia="宋体"/>
                <w:kern w:val="0"/>
                <w:sz w:val="20"/>
              </w:rPr>
            </w:pPr>
            <w:r>
              <w:rPr>
                <w:rFonts w:eastAsia="宋体"/>
                <w:kern w:val="0"/>
                <w:sz w:val="20"/>
              </w:rPr>
              <w:t>4-</w:t>
            </w:r>
            <w:r>
              <w:rPr>
                <w:rFonts w:hint="eastAsia" w:ascii="宋体" w:hAnsi="宋体" w:eastAsia="宋体"/>
                <w:kern w:val="0"/>
                <w:sz w:val="20"/>
              </w:rPr>
              <w:t>环境监管能力建设</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水质自动监测体系建设</w:t>
            </w:r>
          </w:p>
        </w:tc>
        <w:tc>
          <w:tcPr>
            <w:tcW w:w="112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全市范围</w:t>
            </w:r>
          </w:p>
        </w:tc>
        <w:tc>
          <w:tcPr>
            <w:tcW w:w="98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2017.1-2019.12</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中山市环保局</w:t>
            </w:r>
          </w:p>
        </w:tc>
        <w:tc>
          <w:tcPr>
            <w:tcW w:w="125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镇环保分局、水利所</w:t>
            </w:r>
          </w:p>
        </w:tc>
        <w:tc>
          <w:tcPr>
            <w:tcW w:w="3887"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更新升级水质自动监测站现有监测仪器及设备，完成水质自动监测数据联网，提高民众知情权。增加内河涌水质自动监测，完善水质自动监测体系，加强水质自动监测能力。</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2000</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w:t>
            </w:r>
            <w:r>
              <w:rPr>
                <w:rFonts w:hint="eastAsia" w:ascii="宋体" w:hAnsi="宋体" w:eastAsia="宋体"/>
                <w:kern w:val="0"/>
                <w:sz w:val="20"/>
              </w:rPr>
              <w:t>在建</w:t>
            </w:r>
          </w:p>
        </w:tc>
      </w:tr>
      <w:tr>
        <w:tblPrEx>
          <w:tblCellMar>
            <w:top w:w="0" w:type="dxa"/>
            <w:left w:w="108" w:type="dxa"/>
            <w:bottom w:w="0" w:type="dxa"/>
            <w:right w:w="108" w:type="dxa"/>
          </w:tblCellMar>
        </w:tblPrEx>
        <w:trPr>
          <w:cantSplit/>
          <w:trHeight w:val="20" w:hRule="atLeast"/>
        </w:trPr>
        <w:tc>
          <w:tcPr>
            <w:tcW w:w="41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hint="eastAsia" w:eastAsia="宋体"/>
                <w:kern w:val="0"/>
                <w:sz w:val="20"/>
                <w:lang w:eastAsia="zh-CN"/>
              </w:rPr>
            </w:pPr>
            <w:r>
              <w:rPr>
                <w:rFonts w:hint="eastAsia" w:eastAsia="宋体"/>
                <w:kern w:val="0"/>
                <w:sz w:val="20"/>
                <w:lang w:val="en-US" w:eastAsia="zh-CN"/>
              </w:rPr>
              <w:t>11</w:t>
            </w:r>
          </w:p>
        </w:tc>
        <w:tc>
          <w:tcPr>
            <w:tcW w:w="685"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南朗镇</w:t>
            </w:r>
          </w:p>
        </w:tc>
        <w:tc>
          <w:tcPr>
            <w:tcW w:w="1114"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eastAsia="宋体"/>
                <w:kern w:val="0"/>
                <w:sz w:val="20"/>
              </w:rPr>
            </w:pPr>
            <w:r>
              <w:rPr>
                <w:rFonts w:eastAsia="宋体"/>
                <w:kern w:val="0"/>
                <w:sz w:val="20"/>
              </w:rPr>
              <w:t>4-</w:t>
            </w:r>
            <w:r>
              <w:rPr>
                <w:rFonts w:hint="eastAsia" w:ascii="宋体" w:hAnsi="宋体" w:eastAsia="宋体"/>
                <w:kern w:val="0"/>
                <w:sz w:val="20"/>
              </w:rPr>
              <w:t>环境监管能力建设</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加强镇级环境监察队伍的能力建设</w:t>
            </w:r>
          </w:p>
        </w:tc>
        <w:tc>
          <w:tcPr>
            <w:tcW w:w="112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泮沙排洪渠流域</w:t>
            </w:r>
          </w:p>
        </w:tc>
        <w:tc>
          <w:tcPr>
            <w:tcW w:w="98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2017.1-2019.12</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镇环保分局</w:t>
            </w:r>
          </w:p>
        </w:tc>
        <w:tc>
          <w:tcPr>
            <w:tcW w:w="125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镇水利所、住房和城乡建设局、农业农村局</w:t>
            </w:r>
          </w:p>
        </w:tc>
        <w:tc>
          <w:tcPr>
            <w:tcW w:w="3887"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rPr>
                <w:rFonts w:ascii="宋体" w:hAnsi="宋体" w:eastAsia="宋体" w:cs="宋体"/>
                <w:kern w:val="0"/>
                <w:sz w:val="20"/>
              </w:rPr>
            </w:pPr>
            <w:r>
              <w:rPr>
                <w:rFonts w:hint="eastAsia" w:ascii="宋体" w:hAnsi="宋体" w:eastAsia="宋体" w:cs="宋体"/>
                <w:kern w:val="0"/>
                <w:sz w:val="20"/>
              </w:rPr>
              <w:t>镇区环境监察队伍按县一级环境监察队伍标准化建设。加强各有关部门对工企业违规排污监管及养殖户清理整顿能力建设。</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2000</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w:t>
            </w:r>
            <w:r>
              <w:rPr>
                <w:rFonts w:hint="eastAsia" w:ascii="宋体" w:hAnsi="宋体" w:eastAsia="宋体"/>
                <w:kern w:val="0"/>
                <w:sz w:val="20"/>
              </w:rPr>
              <w:t>在建</w:t>
            </w:r>
          </w:p>
        </w:tc>
      </w:tr>
      <w:tr>
        <w:tblPrEx>
          <w:tblCellMar>
            <w:top w:w="0" w:type="dxa"/>
            <w:left w:w="108" w:type="dxa"/>
            <w:bottom w:w="0" w:type="dxa"/>
            <w:right w:w="108" w:type="dxa"/>
          </w:tblCellMar>
        </w:tblPrEx>
        <w:trPr>
          <w:cantSplit/>
          <w:trHeight w:val="20" w:hRule="atLeast"/>
        </w:trPr>
        <w:tc>
          <w:tcPr>
            <w:tcW w:w="13953"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b/>
                <w:bCs/>
                <w:kern w:val="0"/>
                <w:sz w:val="20"/>
              </w:rPr>
            </w:pPr>
            <w:r>
              <w:rPr>
                <w:rFonts w:hint="eastAsia" w:ascii="宋体" w:hAnsi="宋体" w:eastAsia="宋体" w:cs="宋体"/>
                <w:b/>
                <w:bCs/>
                <w:kern w:val="0"/>
                <w:sz w:val="20"/>
              </w:rPr>
              <w:t>二、集中式饮用水水源地环境保护</w:t>
            </w:r>
          </w:p>
        </w:tc>
      </w:tr>
      <w:tr>
        <w:tblPrEx>
          <w:tblCellMar>
            <w:top w:w="0" w:type="dxa"/>
            <w:left w:w="108" w:type="dxa"/>
            <w:bottom w:w="0" w:type="dxa"/>
            <w:right w:w="108" w:type="dxa"/>
          </w:tblCellMar>
        </w:tblPrEx>
        <w:trPr>
          <w:cantSplit/>
          <w:trHeight w:val="20" w:hRule="atLeast"/>
        </w:trPr>
        <w:tc>
          <w:tcPr>
            <w:tcW w:w="11970"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b/>
                <w:bCs/>
                <w:kern w:val="0"/>
                <w:sz w:val="20"/>
              </w:rPr>
            </w:pPr>
            <w:r>
              <w:rPr>
                <w:rFonts w:hint="eastAsia" w:ascii="宋体" w:hAnsi="宋体" w:eastAsia="宋体" w:cs="宋体"/>
                <w:b/>
                <w:bCs/>
                <w:kern w:val="0"/>
                <w:sz w:val="20"/>
              </w:rPr>
              <w:t>合计</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b/>
                <w:bCs/>
                <w:kern w:val="0"/>
                <w:sz w:val="20"/>
              </w:rPr>
            </w:pPr>
            <w:r>
              <w:rPr>
                <w:rFonts w:eastAsia="宋体"/>
                <w:b/>
                <w:bCs/>
                <w:kern w:val="0"/>
                <w:sz w:val="20"/>
              </w:rPr>
              <w:t>1080</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　</w:t>
            </w:r>
          </w:p>
        </w:tc>
      </w:tr>
      <w:tr>
        <w:tblPrEx>
          <w:tblCellMar>
            <w:top w:w="0" w:type="dxa"/>
            <w:left w:w="108" w:type="dxa"/>
            <w:bottom w:w="0" w:type="dxa"/>
            <w:right w:w="108" w:type="dxa"/>
          </w:tblCellMar>
        </w:tblPrEx>
        <w:trPr>
          <w:cantSplit/>
          <w:trHeight w:val="20" w:hRule="atLeast"/>
        </w:trPr>
        <w:tc>
          <w:tcPr>
            <w:tcW w:w="41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1</w:t>
            </w:r>
          </w:p>
        </w:tc>
        <w:tc>
          <w:tcPr>
            <w:tcW w:w="685"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南朗镇</w:t>
            </w:r>
          </w:p>
        </w:tc>
        <w:tc>
          <w:tcPr>
            <w:tcW w:w="1114"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1-饮用水源保护区规范化建设</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饮用水源保护区水源保护示范工程</w:t>
            </w:r>
          </w:p>
        </w:tc>
        <w:tc>
          <w:tcPr>
            <w:tcW w:w="112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横迳水库水源保护区</w:t>
            </w:r>
          </w:p>
        </w:tc>
        <w:tc>
          <w:tcPr>
            <w:tcW w:w="98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2017.8-2019.12</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镇农业农村局</w:t>
            </w:r>
          </w:p>
        </w:tc>
        <w:tc>
          <w:tcPr>
            <w:tcW w:w="125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镇水利所、镇环保分局</w:t>
            </w:r>
          </w:p>
        </w:tc>
        <w:tc>
          <w:tcPr>
            <w:tcW w:w="3887"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rPr>
                <w:rFonts w:ascii="宋体" w:hAnsi="宋体" w:eastAsia="宋体" w:cs="宋体"/>
                <w:kern w:val="0"/>
                <w:sz w:val="20"/>
              </w:rPr>
            </w:pPr>
            <w:r>
              <w:rPr>
                <w:rFonts w:hint="eastAsia" w:ascii="宋体" w:hAnsi="宋体" w:eastAsia="宋体" w:cs="宋体"/>
                <w:kern w:val="0"/>
                <w:sz w:val="20"/>
              </w:rPr>
              <w:t>横迳水库饮用水水源保护区及汇水区等敏感区域要建设生态沟渠、污水净化塘、地表径流集蓄池等设施，净化农田排水及地表径流。</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300</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1-</w:t>
            </w:r>
            <w:r>
              <w:rPr>
                <w:rFonts w:hint="eastAsia" w:ascii="宋体" w:hAnsi="宋体" w:eastAsia="宋体"/>
                <w:kern w:val="0"/>
                <w:sz w:val="20"/>
              </w:rPr>
              <w:t>未开工</w:t>
            </w:r>
          </w:p>
        </w:tc>
      </w:tr>
      <w:tr>
        <w:tblPrEx>
          <w:tblCellMar>
            <w:top w:w="0" w:type="dxa"/>
            <w:left w:w="108" w:type="dxa"/>
            <w:bottom w:w="0" w:type="dxa"/>
            <w:right w:w="108" w:type="dxa"/>
          </w:tblCellMar>
        </w:tblPrEx>
        <w:trPr>
          <w:cantSplit/>
          <w:trHeight w:val="20" w:hRule="atLeast"/>
        </w:trPr>
        <w:tc>
          <w:tcPr>
            <w:tcW w:w="41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w:t>
            </w:r>
          </w:p>
        </w:tc>
        <w:tc>
          <w:tcPr>
            <w:tcW w:w="685"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南朗镇</w:t>
            </w:r>
          </w:p>
        </w:tc>
        <w:tc>
          <w:tcPr>
            <w:tcW w:w="1114"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eastAsia="宋体"/>
                <w:kern w:val="0"/>
                <w:sz w:val="20"/>
              </w:rPr>
            </w:pPr>
            <w:r>
              <w:rPr>
                <w:rFonts w:eastAsia="宋体"/>
                <w:kern w:val="0"/>
                <w:sz w:val="20"/>
              </w:rPr>
              <w:t>2-</w:t>
            </w:r>
            <w:r>
              <w:rPr>
                <w:rFonts w:hint="eastAsia" w:ascii="宋体" w:hAnsi="宋体" w:eastAsia="宋体"/>
                <w:kern w:val="0"/>
                <w:sz w:val="20"/>
              </w:rPr>
              <w:t>水源地生态修复与建设工程</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水源涵养林建设</w:t>
            </w:r>
          </w:p>
        </w:tc>
        <w:tc>
          <w:tcPr>
            <w:tcW w:w="112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横迳水库水源保护区</w:t>
            </w:r>
          </w:p>
        </w:tc>
        <w:tc>
          <w:tcPr>
            <w:tcW w:w="98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2017.8-2019.12</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镇林业站</w:t>
            </w:r>
          </w:p>
        </w:tc>
        <w:tc>
          <w:tcPr>
            <w:tcW w:w="125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镇水利所</w:t>
            </w:r>
          </w:p>
        </w:tc>
        <w:tc>
          <w:tcPr>
            <w:tcW w:w="3887"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rPr>
                <w:rFonts w:ascii="宋体" w:hAnsi="宋体" w:eastAsia="宋体" w:cs="宋体"/>
                <w:kern w:val="0"/>
                <w:sz w:val="20"/>
              </w:rPr>
            </w:pPr>
            <w:r>
              <w:rPr>
                <w:rFonts w:hint="eastAsia" w:ascii="宋体" w:hAnsi="宋体" w:eastAsia="宋体" w:cs="宋体"/>
                <w:kern w:val="0"/>
                <w:sz w:val="20"/>
              </w:rPr>
              <w:t>在横迳水库水源保护区的河道管理范围内种植防护林、植被带。</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600</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1-</w:t>
            </w:r>
            <w:r>
              <w:rPr>
                <w:rFonts w:hint="eastAsia" w:ascii="宋体" w:hAnsi="宋体" w:eastAsia="宋体"/>
                <w:kern w:val="0"/>
                <w:sz w:val="20"/>
              </w:rPr>
              <w:t>未开工</w:t>
            </w:r>
          </w:p>
        </w:tc>
      </w:tr>
      <w:tr>
        <w:tblPrEx>
          <w:tblCellMar>
            <w:top w:w="0" w:type="dxa"/>
            <w:left w:w="108" w:type="dxa"/>
            <w:bottom w:w="0" w:type="dxa"/>
            <w:right w:w="108" w:type="dxa"/>
          </w:tblCellMar>
        </w:tblPrEx>
        <w:trPr>
          <w:cantSplit/>
          <w:trHeight w:val="20" w:hRule="atLeast"/>
        </w:trPr>
        <w:tc>
          <w:tcPr>
            <w:tcW w:w="41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3</w:t>
            </w:r>
          </w:p>
        </w:tc>
        <w:tc>
          <w:tcPr>
            <w:tcW w:w="685"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全市范围</w:t>
            </w:r>
          </w:p>
        </w:tc>
        <w:tc>
          <w:tcPr>
            <w:tcW w:w="1114"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eastAsia="宋体"/>
                <w:kern w:val="0"/>
                <w:sz w:val="20"/>
              </w:rPr>
            </w:pPr>
            <w:r>
              <w:rPr>
                <w:rFonts w:eastAsia="宋体"/>
                <w:kern w:val="0"/>
                <w:sz w:val="20"/>
              </w:rPr>
              <w:t>2-</w:t>
            </w:r>
            <w:r>
              <w:rPr>
                <w:rFonts w:hint="eastAsia" w:ascii="宋体" w:hAnsi="宋体" w:eastAsia="宋体"/>
                <w:kern w:val="0"/>
                <w:sz w:val="20"/>
              </w:rPr>
              <w:t>水源地生态修复与建设工程</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生态保护红线划定项目</w:t>
            </w:r>
          </w:p>
        </w:tc>
        <w:tc>
          <w:tcPr>
            <w:tcW w:w="112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ascii="宋体" w:hAnsi="宋体" w:eastAsia="宋体" w:cs="宋体"/>
                <w:kern w:val="0"/>
                <w:sz w:val="20"/>
              </w:rPr>
            </w:pPr>
            <w:r>
              <w:rPr>
                <w:rFonts w:hint="eastAsia" w:ascii="宋体" w:hAnsi="宋体" w:eastAsia="宋体" w:cs="宋体"/>
                <w:kern w:val="0"/>
                <w:sz w:val="20"/>
              </w:rPr>
              <w:t>中山市全市市域</w:t>
            </w:r>
          </w:p>
        </w:tc>
        <w:tc>
          <w:tcPr>
            <w:tcW w:w="98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2017.1-2017.12</w:t>
            </w:r>
          </w:p>
        </w:tc>
        <w:tc>
          <w:tcPr>
            <w:tcW w:w="1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中山市环保局</w:t>
            </w:r>
          </w:p>
        </w:tc>
        <w:tc>
          <w:tcPr>
            <w:tcW w:w="1258"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left"/>
              <w:rPr>
                <w:rFonts w:ascii="宋体" w:hAnsi="宋体" w:eastAsia="宋体" w:cs="宋体"/>
                <w:kern w:val="0"/>
                <w:sz w:val="20"/>
              </w:rPr>
            </w:pPr>
            <w:r>
              <w:rPr>
                <w:rFonts w:hint="eastAsia" w:ascii="宋体" w:hAnsi="宋体" w:eastAsia="宋体" w:cs="宋体"/>
                <w:kern w:val="0"/>
                <w:sz w:val="20"/>
              </w:rPr>
              <w:t>市国土局、住房城乡建设局、水务局、农业局</w:t>
            </w:r>
          </w:p>
        </w:tc>
        <w:tc>
          <w:tcPr>
            <w:tcW w:w="3887"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rPr>
                <w:rFonts w:ascii="宋体" w:hAnsi="宋体" w:eastAsia="宋体" w:cs="宋体"/>
                <w:kern w:val="0"/>
                <w:sz w:val="20"/>
              </w:rPr>
            </w:pPr>
            <w:r>
              <w:rPr>
                <w:rFonts w:hint="eastAsia" w:ascii="宋体" w:hAnsi="宋体" w:eastAsia="宋体" w:cs="宋体"/>
                <w:kern w:val="0"/>
                <w:sz w:val="20"/>
              </w:rPr>
              <w:t>依法在中山市全市的重点生态功能区、生态环境敏感区和脆弱区等区域划定的严格管控边界</w:t>
            </w:r>
          </w:p>
        </w:tc>
        <w:tc>
          <w:tcPr>
            <w:tcW w:w="1213"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180</w:t>
            </w:r>
          </w:p>
        </w:tc>
        <w:tc>
          <w:tcPr>
            <w:tcW w:w="770" w:type="dxa"/>
            <w:tcBorders>
              <w:top w:val="nil"/>
              <w:left w:val="nil"/>
              <w:bottom w:val="single" w:color="auto" w:sz="4" w:space="0"/>
              <w:right w:val="single" w:color="auto" w:sz="4" w:space="0"/>
            </w:tcBorders>
            <w:shd w:val="clear" w:color="auto" w:fill="auto"/>
            <w:vAlign w:val="center"/>
          </w:tcPr>
          <w:p>
            <w:pPr>
              <w:widowControl/>
              <w:adjustRightInd w:val="0"/>
              <w:snapToGrid w:val="0"/>
              <w:spacing w:before="115" w:beforeLines="20" w:after="115" w:afterLines="20"/>
              <w:jc w:val="center"/>
              <w:rPr>
                <w:rFonts w:eastAsia="宋体"/>
                <w:kern w:val="0"/>
                <w:sz w:val="20"/>
              </w:rPr>
            </w:pPr>
            <w:r>
              <w:rPr>
                <w:rFonts w:eastAsia="宋体"/>
                <w:kern w:val="0"/>
                <w:sz w:val="20"/>
              </w:rPr>
              <w:t>2-</w:t>
            </w:r>
            <w:r>
              <w:rPr>
                <w:rFonts w:hint="eastAsia" w:ascii="宋体" w:hAnsi="宋体" w:eastAsia="宋体"/>
                <w:kern w:val="0"/>
                <w:sz w:val="20"/>
              </w:rPr>
              <w:t>在建</w:t>
            </w:r>
          </w:p>
        </w:tc>
      </w:tr>
    </w:tbl>
    <w:p>
      <w:pPr>
        <w:spacing w:before="289" w:beforeLines="50"/>
        <w:jc w:val="center"/>
        <w:rPr>
          <w:b/>
          <w:sz w:val="28"/>
          <w:szCs w:val="21"/>
        </w:rPr>
      </w:pPr>
      <w:r>
        <w:rPr>
          <w:rFonts w:hint="eastAsia"/>
          <w:b/>
          <w:sz w:val="28"/>
          <w:szCs w:val="21"/>
        </w:rPr>
        <w:t>附表</w:t>
      </w:r>
      <w:r>
        <w:rPr>
          <w:b/>
          <w:sz w:val="28"/>
          <w:szCs w:val="21"/>
        </w:rPr>
        <w:t>2</w:t>
      </w:r>
      <w:r>
        <w:rPr>
          <w:rFonts w:hint="eastAsia"/>
          <w:b/>
          <w:sz w:val="28"/>
          <w:szCs w:val="21"/>
        </w:rPr>
        <w:t>. 泮沙排洪渠流域重点水污染企业排污现状及控源建议表</w:t>
      </w:r>
    </w:p>
    <w:tbl>
      <w:tblPr>
        <w:tblStyle w:val="25"/>
        <w:tblW w:w="13953" w:type="dxa"/>
        <w:tblInd w:w="-5" w:type="dxa"/>
        <w:tblLayout w:type="fixed"/>
        <w:tblCellMar>
          <w:top w:w="0" w:type="dxa"/>
          <w:left w:w="108" w:type="dxa"/>
          <w:bottom w:w="0" w:type="dxa"/>
          <w:right w:w="108" w:type="dxa"/>
        </w:tblCellMar>
      </w:tblPr>
      <w:tblGrid>
        <w:gridCol w:w="496"/>
        <w:gridCol w:w="2198"/>
        <w:gridCol w:w="850"/>
        <w:gridCol w:w="1529"/>
        <w:gridCol w:w="1761"/>
        <w:gridCol w:w="1594"/>
        <w:gridCol w:w="1770"/>
        <w:gridCol w:w="3755"/>
      </w:tblGrid>
      <w:tr>
        <w:tblPrEx>
          <w:tblCellMar>
            <w:top w:w="0" w:type="dxa"/>
            <w:left w:w="108" w:type="dxa"/>
            <w:bottom w:w="0" w:type="dxa"/>
            <w:right w:w="108" w:type="dxa"/>
          </w:tblCellMar>
        </w:tblPrEx>
        <w:trPr>
          <w:trHeight w:val="454" w:hRule="atLeast"/>
          <w:tblHeader/>
        </w:trPr>
        <w:tc>
          <w:tcPr>
            <w:tcW w:w="49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before="86" w:beforeLines="15" w:after="86" w:afterLines="15"/>
              <w:jc w:val="center"/>
              <w:rPr>
                <w:rFonts w:ascii="宋体" w:hAnsi="宋体" w:eastAsia="宋体" w:cs="宋体"/>
                <w:b/>
                <w:bCs/>
                <w:color w:val="auto"/>
                <w:kern w:val="0"/>
                <w:sz w:val="20"/>
              </w:rPr>
            </w:pPr>
            <w:r>
              <w:rPr>
                <w:rFonts w:hint="eastAsia" w:ascii="宋体" w:hAnsi="宋体" w:eastAsia="宋体" w:cs="宋体"/>
                <w:b/>
                <w:bCs/>
                <w:color w:val="auto"/>
                <w:kern w:val="0"/>
                <w:sz w:val="20"/>
                <w:lang w:eastAsia="zh-TW"/>
              </w:rPr>
              <w:t>序号</w:t>
            </w:r>
          </w:p>
        </w:tc>
        <w:tc>
          <w:tcPr>
            <w:tcW w:w="2198"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before="86" w:beforeLines="15" w:after="86" w:afterLines="15"/>
              <w:jc w:val="center"/>
              <w:rPr>
                <w:rFonts w:ascii="宋体" w:hAnsi="宋体" w:eastAsia="宋体" w:cs="宋体"/>
                <w:b/>
                <w:bCs/>
                <w:color w:val="auto"/>
                <w:kern w:val="0"/>
                <w:sz w:val="20"/>
              </w:rPr>
            </w:pPr>
            <w:r>
              <w:rPr>
                <w:rFonts w:hint="eastAsia" w:ascii="宋体" w:hAnsi="宋体" w:eastAsia="宋体" w:cs="宋体"/>
                <w:b/>
                <w:bCs/>
                <w:color w:val="auto"/>
                <w:kern w:val="0"/>
                <w:sz w:val="20"/>
                <w:lang w:eastAsia="zh-TW"/>
              </w:rPr>
              <w:t>企业名称</w:t>
            </w:r>
          </w:p>
        </w:tc>
        <w:tc>
          <w:tcPr>
            <w:tcW w:w="850"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before="86" w:beforeLines="15" w:after="86" w:afterLines="15"/>
              <w:jc w:val="center"/>
              <w:rPr>
                <w:rFonts w:ascii="宋体" w:hAnsi="宋体" w:eastAsia="宋体" w:cs="宋体"/>
                <w:b/>
                <w:bCs/>
                <w:color w:val="auto"/>
                <w:kern w:val="0"/>
                <w:sz w:val="20"/>
              </w:rPr>
            </w:pPr>
            <w:r>
              <w:rPr>
                <w:rFonts w:hint="eastAsia" w:ascii="宋体" w:hAnsi="宋体" w:eastAsia="宋体" w:cs="宋体"/>
                <w:b/>
                <w:bCs/>
                <w:color w:val="auto"/>
                <w:kern w:val="0"/>
                <w:sz w:val="20"/>
                <w:lang w:eastAsia="zh-TW"/>
              </w:rPr>
              <w:t>行政村</w:t>
            </w:r>
          </w:p>
        </w:tc>
        <w:tc>
          <w:tcPr>
            <w:tcW w:w="1529"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before="86" w:beforeLines="15" w:after="86" w:afterLines="15"/>
              <w:jc w:val="center"/>
              <w:rPr>
                <w:rFonts w:ascii="宋体" w:hAnsi="宋体" w:eastAsia="宋体" w:cs="宋体"/>
                <w:b/>
                <w:bCs/>
                <w:color w:val="auto"/>
                <w:kern w:val="0"/>
                <w:sz w:val="20"/>
              </w:rPr>
            </w:pPr>
            <w:r>
              <w:rPr>
                <w:rFonts w:hint="eastAsia" w:ascii="宋体" w:hAnsi="宋体" w:eastAsia="宋体" w:cs="宋体"/>
                <w:b/>
                <w:bCs/>
                <w:color w:val="auto"/>
                <w:kern w:val="0"/>
                <w:sz w:val="20"/>
                <w:lang w:eastAsia="zh-TW"/>
              </w:rPr>
              <w:t>地址</w:t>
            </w:r>
          </w:p>
        </w:tc>
        <w:tc>
          <w:tcPr>
            <w:tcW w:w="1761"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before="86" w:beforeLines="15" w:after="86" w:afterLines="15"/>
              <w:jc w:val="center"/>
              <w:rPr>
                <w:rFonts w:ascii="宋体" w:hAnsi="宋体" w:eastAsia="宋体" w:cs="宋体"/>
                <w:b/>
                <w:bCs/>
                <w:color w:val="auto"/>
                <w:kern w:val="0"/>
                <w:sz w:val="20"/>
              </w:rPr>
            </w:pPr>
            <w:r>
              <w:rPr>
                <w:rFonts w:hint="eastAsia" w:ascii="宋体" w:hAnsi="宋体" w:eastAsia="宋体" w:cs="宋体"/>
                <w:b/>
                <w:bCs/>
                <w:color w:val="auto"/>
                <w:kern w:val="0"/>
                <w:sz w:val="20"/>
                <w:lang w:eastAsia="zh-TW"/>
              </w:rPr>
              <w:t>行业类别</w:t>
            </w:r>
          </w:p>
        </w:tc>
        <w:tc>
          <w:tcPr>
            <w:tcW w:w="1594"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before="86" w:beforeLines="15" w:after="86" w:afterLines="15"/>
              <w:jc w:val="center"/>
              <w:rPr>
                <w:rFonts w:ascii="宋体" w:hAnsi="宋体" w:eastAsia="宋体" w:cs="宋体"/>
                <w:b/>
                <w:bCs/>
                <w:color w:val="auto"/>
                <w:kern w:val="0"/>
                <w:sz w:val="20"/>
              </w:rPr>
            </w:pPr>
            <w:r>
              <w:rPr>
                <w:rFonts w:hint="eastAsia" w:ascii="宋体" w:hAnsi="宋体" w:eastAsia="宋体" w:cs="宋体"/>
                <w:b/>
                <w:bCs/>
                <w:color w:val="auto"/>
                <w:kern w:val="0"/>
                <w:sz w:val="20"/>
                <w:lang w:eastAsia="zh-TW"/>
              </w:rPr>
              <w:t>现状工业废水排放量(万吨）</w:t>
            </w:r>
          </w:p>
        </w:tc>
        <w:tc>
          <w:tcPr>
            <w:tcW w:w="1770"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before="86" w:beforeLines="15" w:after="86" w:afterLines="15"/>
              <w:jc w:val="center"/>
              <w:rPr>
                <w:rFonts w:ascii="宋体" w:hAnsi="宋体" w:eastAsia="宋体" w:cs="宋体"/>
                <w:b/>
                <w:bCs/>
                <w:color w:val="auto"/>
                <w:kern w:val="0"/>
                <w:sz w:val="20"/>
              </w:rPr>
            </w:pPr>
            <w:r>
              <w:rPr>
                <w:rFonts w:hint="eastAsia" w:ascii="宋体" w:hAnsi="宋体" w:eastAsia="宋体" w:cs="宋体"/>
                <w:b/>
                <w:bCs/>
                <w:color w:val="auto"/>
                <w:kern w:val="0"/>
                <w:sz w:val="20"/>
              </w:rPr>
              <w:t>排污现状</w:t>
            </w:r>
          </w:p>
        </w:tc>
        <w:tc>
          <w:tcPr>
            <w:tcW w:w="3755"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before="86" w:beforeLines="15" w:after="86" w:afterLines="15"/>
              <w:jc w:val="center"/>
              <w:rPr>
                <w:rFonts w:ascii="宋体" w:hAnsi="宋体" w:eastAsia="宋体" w:cs="宋体"/>
                <w:b/>
                <w:bCs/>
                <w:color w:val="auto"/>
                <w:kern w:val="0"/>
                <w:sz w:val="20"/>
              </w:rPr>
            </w:pPr>
            <w:r>
              <w:rPr>
                <w:rFonts w:hint="eastAsia" w:ascii="宋体" w:hAnsi="宋体" w:eastAsia="宋体" w:cs="宋体"/>
                <w:b/>
                <w:bCs/>
                <w:color w:val="auto"/>
                <w:kern w:val="0"/>
                <w:sz w:val="20"/>
              </w:rPr>
              <w:t>控源建议</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1</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中山侨光纺织有限公司</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南朗</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中山市南朗镇南合路</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1710棉、化纤纺织及印染加工</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49.998</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lang w:eastAsia="zh-TW"/>
              </w:rPr>
              <w:t>自行处理达标后排入泮沙排洪渠</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eastAsia" w:ascii="宋体" w:hAnsi="宋体" w:eastAsia="宋体" w:cs="宋体"/>
                <w:color w:val="auto"/>
                <w:kern w:val="0"/>
                <w:sz w:val="20"/>
                <w:lang w:eastAsia="zh-TW"/>
              </w:rPr>
            </w:pPr>
            <w:r>
              <w:rPr>
                <w:rFonts w:hint="eastAsia" w:ascii="宋体" w:hAnsi="宋体" w:eastAsia="宋体" w:cs="宋体"/>
                <w:color w:val="auto"/>
                <w:kern w:val="0"/>
                <w:sz w:val="20"/>
                <w:lang w:eastAsia="zh-TW"/>
              </w:rPr>
              <w:t>预处理达到接管要求后由沿河截污系统截污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2</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中山昌辉针织有限公司</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崖口</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中山市南朗镇崖口村</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1760针织品、编织品及其制品制造</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2.1</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lang w:eastAsia="zh-TW"/>
              </w:rPr>
              <w:t>自行处理达标后排入泮沙排洪渠</w:t>
            </w:r>
          </w:p>
        </w:tc>
        <w:tc>
          <w:tcPr>
            <w:tcW w:w="3755" w:type="dxa"/>
            <w:tcBorders>
              <w:top w:val="nil"/>
              <w:left w:val="nil"/>
              <w:bottom w:val="single" w:color="auto" w:sz="4" w:space="0"/>
              <w:right w:val="single" w:color="auto" w:sz="4" w:space="0"/>
            </w:tcBorders>
            <w:shd w:val="clear" w:color="000000" w:fill="FFFFFF"/>
          </w:tcPr>
          <w:p>
            <w:pPr>
              <w:widowControl/>
              <w:adjustRightInd w:val="0"/>
              <w:snapToGrid w:val="0"/>
              <w:jc w:val="left"/>
              <w:rPr>
                <w:rFonts w:hint="eastAsia" w:ascii="宋体" w:hAnsi="宋体" w:eastAsia="宋体" w:cs="宋体"/>
                <w:color w:val="auto"/>
                <w:kern w:val="0"/>
                <w:sz w:val="20"/>
                <w:lang w:eastAsia="zh-TW"/>
              </w:rPr>
            </w:pPr>
            <w:r>
              <w:rPr>
                <w:rFonts w:hint="eastAsia" w:ascii="宋体" w:hAnsi="宋体" w:eastAsia="宋体" w:cs="宋体"/>
                <w:color w:val="auto"/>
                <w:kern w:val="0"/>
                <w:sz w:val="20"/>
                <w:lang w:eastAsia="zh-TW"/>
              </w:rPr>
              <w:t>预处理达到接管要求后由沿河截污系统截污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3</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中山达亿瓦运动器材有限公司</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泮沙</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中山市南朗镇龙珠大道</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C2423</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0.54</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lang w:eastAsia="zh-TW"/>
              </w:rPr>
              <w:t>自行处理达标后排入泮沙排洪渠</w:t>
            </w:r>
          </w:p>
        </w:tc>
        <w:tc>
          <w:tcPr>
            <w:tcW w:w="3755" w:type="dxa"/>
            <w:tcBorders>
              <w:top w:val="nil"/>
              <w:left w:val="nil"/>
              <w:bottom w:val="single" w:color="auto" w:sz="4" w:space="0"/>
              <w:right w:val="single" w:color="auto" w:sz="4" w:space="0"/>
            </w:tcBorders>
            <w:shd w:val="clear" w:color="000000" w:fill="FFFFFF"/>
          </w:tcPr>
          <w:p>
            <w:pPr>
              <w:widowControl/>
              <w:adjustRightInd w:val="0"/>
              <w:snapToGrid w:val="0"/>
              <w:jc w:val="left"/>
              <w:rPr>
                <w:rFonts w:hint="eastAsia" w:ascii="宋体" w:hAnsi="宋体" w:eastAsia="宋体" w:cs="宋体"/>
                <w:color w:val="auto"/>
                <w:kern w:val="0"/>
                <w:sz w:val="20"/>
                <w:lang w:eastAsia="zh-TW"/>
              </w:rPr>
            </w:pPr>
            <w:r>
              <w:rPr>
                <w:rFonts w:hint="eastAsia" w:ascii="宋体" w:hAnsi="宋体" w:eastAsia="宋体" w:cs="宋体"/>
                <w:color w:val="auto"/>
                <w:kern w:val="0"/>
                <w:sz w:val="20"/>
                <w:lang w:eastAsia="zh-TW"/>
              </w:rPr>
              <w:t>预处理达到接管要求后由沿河截污系统截污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4</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中山世扬金属制品有限公司</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南朗</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中山市南朗镇第三工业区</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3400金属制品业</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0.24</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lang w:eastAsia="zh-TW"/>
              </w:rPr>
              <w:t>自行处理达标后排入泮沙排洪渠</w:t>
            </w:r>
          </w:p>
        </w:tc>
        <w:tc>
          <w:tcPr>
            <w:tcW w:w="3755" w:type="dxa"/>
            <w:tcBorders>
              <w:top w:val="nil"/>
              <w:left w:val="nil"/>
              <w:bottom w:val="single" w:color="auto" w:sz="4" w:space="0"/>
              <w:right w:val="single" w:color="auto" w:sz="4" w:space="0"/>
            </w:tcBorders>
            <w:shd w:val="clear" w:color="000000" w:fill="FFFFFF"/>
          </w:tcPr>
          <w:p>
            <w:pPr>
              <w:widowControl/>
              <w:adjustRightInd w:val="0"/>
              <w:snapToGrid w:val="0"/>
              <w:jc w:val="left"/>
              <w:rPr>
                <w:rFonts w:hint="eastAsia" w:ascii="宋体" w:hAnsi="宋体" w:eastAsia="宋体" w:cs="宋体"/>
                <w:color w:val="auto"/>
                <w:kern w:val="0"/>
                <w:sz w:val="20"/>
                <w:lang w:eastAsia="zh-TW"/>
              </w:rPr>
            </w:pPr>
            <w:r>
              <w:rPr>
                <w:rFonts w:hint="eastAsia" w:ascii="宋体" w:hAnsi="宋体" w:eastAsia="宋体" w:cs="宋体"/>
                <w:color w:val="auto"/>
                <w:kern w:val="0"/>
                <w:sz w:val="20"/>
                <w:lang w:eastAsia="zh-TW"/>
              </w:rPr>
              <w:t>预处理达到接管要求后由沿河截污系统截污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5</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中山市鑫发五金有限公司</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泮沙</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中山市南朗镇第二工业区南合路</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3460金属表面处理及热处理加工</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0.108</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lang w:eastAsia="zh-TW"/>
              </w:rPr>
            </w:pPr>
            <w:r>
              <w:rPr>
                <w:rFonts w:hint="eastAsia" w:ascii="宋体" w:hAnsi="宋体" w:eastAsia="宋体" w:cs="宋体"/>
                <w:color w:val="auto"/>
                <w:kern w:val="0"/>
                <w:sz w:val="20"/>
                <w:lang w:eastAsia="zh-TW"/>
              </w:rPr>
              <w:t>工业废水转移流域外处理，生活污水纳入市政纳污管网，禁止设置排污口向河道排污。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6</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中山市辉荣化工有限公司</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泮沙</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中山市南朗镇南朗工业</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2641涂料制造</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0.054</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lang w:eastAsia="zh-TW"/>
              </w:rPr>
            </w:pPr>
            <w:r>
              <w:rPr>
                <w:rFonts w:hint="eastAsia" w:ascii="宋体" w:hAnsi="宋体" w:eastAsia="宋体" w:cs="宋体"/>
                <w:color w:val="auto"/>
                <w:kern w:val="0"/>
                <w:sz w:val="20"/>
                <w:lang w:eastAsia="zh-TW"/>
              </w:rPr>
              <w:t>工业废水转移流域外处理，生活污水纳入市政纳污管网，禁止设置排污口向河道排污。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7</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中山大北橡胶有限公司</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南朗</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中山市南朗镇竹仔林</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2900橡胶制品业</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0.027</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lang w:eastAsia="zh-TW"/>
              </w:rPr>
              <w:t>自行处理达标后排入泮沙排洪渠</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eastAsia" w:ascii="宋体" w:hAnsi="宋体" w:eastAsia="宋体" w:cs="宋体"/>
                <w:color w:val="auto"/>
                <w:kern w:val="0"/>
                <w:sz w:val="20"/>
                <w:lang w:eastAsia="zh-TW"/>
              </w:rPr>
            </w:pPr>
            <w:r>
              <w:rPr>
                <w:rFonts w:hint="eastAsia" w:ascii="宋体" w:hAnsi="宋体" w:eastAsia="宋体" w:cs="宋体"/>
                <w:color w:val="auto"/>
                <w:kern w:val="0"/>
                <w:sz w:val="20"/>
                <w:lang w:eastAsia="zh-TW"/>
              </w:rPr>
              <w:t>预处理达到接管要求后由沿河截污系统截污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8</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中山市南朗镇瑞翔食品加工厂</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南朗</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中山市南朗村委会合外村</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1392見制品制造</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0.015</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eastAsia" w:ascii="宋体" w:hAnsi="宋体" w:eastAsia="宋体" w:cs="宋体"/>
                <w:color w:val="auto"/>
                <w:kern w:val="0"/>
                <w:sz w:val="20"/>
                <w:lang w:eastAsia="zh-TW"/>
              </w:rPr>
            </w:pPr>
            <w:r>
              <w:rPr>
                <w:rFonts w:hint="eastAsia" w:ascii="宋体" w:hAnsi="宋体" w:eastAsia="宋体" w:cs="宋体"/>
                <w:color w:val="auto"/>
                <w:kern w:val="0"/>
                <w:sz w:val="20"/>
                <w:lang w:eastAsia="zh-TW"/>
              </w:rPr>
              <w:t>工业废水转移流域外处理，生活污水纳入市政纳污管网，禁止设置排污口向河道排污。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9</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中山市威氏清洁用品有限公司</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南朗</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中山市南朗镇侨光工业园内</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2671肥皂及合成洗涤剂制造</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0.0125</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lang w:eastAsia="zh-TW"/>
              </w:rPr>
              <w:t>自行处理达标后排入泮沙排洪渠</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eastAsia" w:ascii="宋体" w:hAnsi="宋体" w:eastAsia="宋体" w:cs="宋体"/>
                <w:color w:val="auto"/>
                <w:kern w:val="0"/>
                <w:sz w:val="20"/>
                <w:lang w:eastAsia="zh-TW"/>
              </w:rPr>
            </w:pPr>
            <w:r>
              <w:rPr>
                <w:rFonts w:hint="eastAsia" w:ascii="宋体" w:hAnsi="宋体" w:eastAsia="宋体" w:cs="宋体"/>
                <w:color w:val="auto"/>
                <w:kern w:val="0"/>
                <w:sz w:val="20"/>
                <w:lang w:eastAsia="zh-TW"/>
              </w:rPr>
              <w:t>预处理达到接管要求后由沿河截污系统截污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10</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金海包装科技公司</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南朗</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中山市南朗镇第三工业区</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2239其他纸制品制造</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0.009</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工业废水转移流域外处理，生活污水纳入市政纳污管网，禁止设置排污口向河道排污。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11</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广东国泰家具集团公司（中山市国泰家具有限公司）</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泮沙</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中山市南朗镇第二工业区</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2110木制家具制造</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0.006</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工业废水转移流域外处理，生活污水纳入市政纳污管网，禁止设置排污口向河道排污。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12</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中山市沐企展示制品有限公司</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泮沙</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中山市南朗镇第二工业区</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2110家具制造业</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0.006</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工业废水转移流域外处理，生活污水纳入市政纳污管网，禁止设置排污口向河道排污。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13</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中兴纸品厂</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南朗</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中山市南朗镇第三工业区</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2319包装装潢及其他印刷业</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0.0027</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工业废水转移流域外处理，生活污水纳入市政纳污管网，禁止设置排污口向河道排污。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14</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中山市洪源胶粘剂有限公司</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白企</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中山市南朗镇合里村四号</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　</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0.0024</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工业废水转移流域外处理，生活污水纳入市政纳污管网，禁止设置排污口向河道排污。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15</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中山市南朗镇南鸿彩印厂</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南朗</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中山市南朗镇第三工业区</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2311书、报、刊印刷业</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0.0015</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工业废水转移流域外处理，生活污水纳入市政纳污管网，禁止设置排污口向河道排污。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16</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中山市佳明包装有限公司</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白企</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中山市观音座新村路</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2319包装装潢及其他印刷</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0.0012</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工业废水转移流域外处理，生活污水纳入市政纳污管网，禁止设置排污口向河道排污。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17</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中山市威发塑料制品有限公司</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崖口</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中山市南朗镇崖口村</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243工艺美术品制造</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0.001</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工业废水转移流域外处理，生活污水纳入市政纳污管网，禁止设置排污口向河道排污。</w:t>
            </w:r>
          </w:p>
        </w:tc>
      </w:tr>
      <w:tr>
        <w:tblPrEx>
          <w:tblCellMar>
            <w:top w:w="0" w:type="dxa"/>
            <w:left w:w="108" w:type="dxa"/>
            <w:bottom w:w="0" w:type="dxa"/>
            <w:right w:w="108" w:type="dxa"/>
          </w:tblCellMar>
        </w:tblPrEx>
        <w:trPr>
          <w:trHeight w:val="510" w:hRule="atLeast"/>
        </w:trPr>
        <w:tc>
          <w:tcPr>
            <w:tcW w:w="496"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18</w:t>
            </w:r>
          </w:p>
        </w:tc>
        <w:tc>
          <w:tcPr>
            <w:tcW w:w="219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中山市南朗镇建荣纸品厂</w:t>
            </w:r>
          </w:p>
        </w:tc>
        <w:tc>
          <w:tcPr>
            <w:tcW w:w="85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白企</w:t>
            </w:r>
          </w:p>
        </w:tc>
        <w:tc>
          <w:tcPr>
            <w:tcW w:w="1529"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中山市南朗镇白企村观音座工业大楼</w:t>
            </w:r>
          </w:p>
        </w:tc>
        <w:tc>
          <w:tcPr>
            <w:tcW w:w="1761"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2319包装装潢及其他印刷</w:t>
            </w:r>
          </w:p>
        </w:tc>
        <w:tc>
          <w:tcPr>
            <w:tcW w:w="1594" w:type="dxa"/>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0.0006</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宋体" w:hAnsi="宋体" w:eastAsia="宋体" w:cs="宋体"/>
                <w:color w:val="auto"/>
                <w:kern w:val="0"/>
                <w:sz w:val="20"/>
              </w:rPr>
            </w:pPr>
            <w:r>
              <w:rPr>
                <w:rFonts w:hint="eastAsia" w:ascii="宋体" w:hAnsi="宋体" w:eastAsia="宋体" w:cs="宋体"/>
                <w:color w:val="auto"/>
                <w:kern w:val="0"/>
                <w:sz w:val="20"/>
              </w:rPr>
              <w:t>工业废水转移流域外处理，生活污水纳入市政纳污管网，禁止设置排污口向河道排污。</w:t>
            </w:r>
          </w:p>
        </w:tc>
      </w:tr>
      <w:tr>
        <w:tblPrEx>
          <w:tblCellMar>
            <w:top w:w="0" w:type="dxa"/>
            <w:left w:w="108" w:type="dxa"/>
            <w:bottom w:w="0" w:type="dxa"/>
            <w:right w:w="108" w:type="dxa"/>
          </w:tblCellMar>
        </w:tblPrEx>
        <w:trPr>
          <w:trHeight w:val="340" w:hRule="atLeast"/>
        </w:trPr>
        <w:tc>
          <w:tcPr>
            <w:tcW w:w="8428"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合计</w:t>
            </w:r>
          </w:p>
        </w:tc>
        <w:tc>
          <w:tcPr>
            <w:tcW w:w="5525" w:type="dxa"/>
            <w:gridSpan w:val="2"/>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before="57" w:beforeLines="10"/>
              <w:jc w:val="center"/>
              <w:rPr>
                <w:rFonts w:ascii="宋体" w:hAnsi="宋体" w:eastAsia="宋体" w:cs="宋体"/>
                <w:color w:val="auto"/>
                <w:kern w:val="0"/>
                <w:sz w:val="20"/>
              </w:rPr>
            </w:pPr>
            <w:r>
              <w:rPr>
                <w:rFonts w:hint="eastAsia" w:ascii="宋体" w:hAnsi="宋体" w:eastAsia="宋体" w:cs="宋体"/>
                <w:color w:val="auto"/>
                <w:kern w:val="0"/>
                <w:sz w:val="20"/>
              </w:rPr>
              <w:t>53.1249</w:t>
            </w:r>
          </w:p>
        </w:tc>
      </w:tr>
      <w:tr>
        <w:tblPrEx>
          <w:tblCellMar>
            <w:top w:w="0" w:type="dxa"/>
            <w:left w:w="108" w:type="dxa"/>
            <w:bottom w:w="0" w:type="dxa"/>
            <w:right w:w="108" w:type="dxa"/>
          </w:tblCellMar>
        </w:tblPrEx>
        <w:trPr>
          <w:trHeight w:val="340" w:hRule="atLeast"/>
        </w:trPr>
        <w:tc>
          <w:tcPr>
            <w:tcW w:w="8428"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lang w:eastAsia="zh-TW"/>
              </w:rPr>
              <w:t>其中：流域外排废水量</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before="57" w:beforeLines="10"/>
              <w:jc w:val="center"/>
              <w:rPr>
                <w:rFonts w:ascii="宋体" w:hAnsi="宋体" w:eastAsia="宋体" w:cs="宋体"/>
                <w:color w:val="auto"/>
                <w:kern w:val="0"/>
                <w:sz w:val="20"/>
              </w:rPr>
            </w:pPr>
            <w:r>
              <w:rPr>
                <w:rFonts w:hint="eastAsia" w:ascii="宋体" w:hAnsi="宋体" w:eastAsia="宋体" w:cs="宋体"/>
                <w:color w:val="auto"/>
                <w:kern w:val="0"/>
                <w:sz w:val="20"/>
              </w:rPr>
              <w:t>0.2074</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before="57" w:beforeLines="10"/>
              <w:jc w:val="center"/>
              <w:rPr>
                <w:rFonts w:ascii="宋体" w:hAnsi="宋体" w:eastAsia="宋体" w:cs="宋体"/>
                <w:color w:val="auto"/>
                <w:kern w:val="0"/>
                <w:sz w:val="20"/>
              </w:rPr>
            </w:pPr>
            <w:r>
              <w:rPr>
                <w:rFonts w:hint="eastAsia" w:ascii="宋体" w:hAnsi="宋体" w:eastAsia="宋体" w:cs="宋体"/>
                <w:color w:val="auto"/>
                <w:kern w:val="0"/>
                <w:sz w:val="20"/>
              </w:rPr>
              <w:t>50.2054</w:t>
            </w:r>
          </w:p>
        </w:tc>
      </w:tr>
      <w:tr>
        <w:tblPrEx>
          <w:tblCellMar>
            <w:top w:w="0" w:type="dxa"/>
            <w:left w:w="108" w:type="dxa"/>
            <w:bottom w:w="0" w:type="dxa"/>
            <w:right w:w="108" w:type="dxa"/>
          </w:tblCellMar>
        </w:tblPrEx>
        <w:trPr>
          <w:trHeight w:val="340" w:hRule="atLeast"/>
        </w:trPr>
        <w:tc>
          <w:tcPr>
            <w:tcW w:w="8428"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宋体" w:hAnsi="宋体" w:eastAsia="宋体" w:cs="宋体"/>
                <w:color w:val="auto"/>
                <w:kern w:val="0"/>
                <w:sz w:val="20"/>
              </w:rPr>
            </w:pPr>
            <w:r>
              <w:rPr>
                <w:rFonts w:hint="eastAsia" w:ascii="宋体" w:hAnsi="宋体" w:eastAsia="宋体" w:cs="宋体"/>
                <w:color w:val="auto"/>
                <w:kern w:val="0"/>
                <w:sz w:val="20"/>
              </w:rPr>
              <w:t>流域内排废水量</w:t>
            </w:r>
          </w:p>
        </w:tc>
        <w:tc>
          <w:tcPr>
            <w:tcW w:w="17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before="57" w:beforeLines="10"/>
              <w:jc w:val="center"/>
              <w:rPr>
                <w:rFonts w:ascii="宋体" w:hAnsi="宋体" w:eastAsia="宋体" w:cs="宋体"/>
                <w:color w:val="auto"/>
                <w:kern w:val="0"/>
                <w:sz w:val="20"/>
              </w:rPr>
            </w:pPr>
            <w:r>
              <w:rPr>
                <w:rFonts w:hint="eastAsia" w:ascii="宋体" w:hAnsi="宋体" w:eastAsia="宋体" w:cs="宋体"/>
                <w:color w:val="auto"/>
                <w:kern w:val="0"/>
                <w:sz w:val="20"/>
              </w:rPr>
              <w:t>52.9175</w:t>
            </w:r>
          </w:p>
        </w:tc>
        <w:tc>
          <w:tcPr>
            <w:tcW w:w="37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before="57" w:beforeLines="10"/>
              <w:jc w:val="center"/>
              <w:rPr>
                <w:rFonts w:ascii="宋体" w:hAnsi="宋体" w:eastAsia="宋体" w:cs="宋体"/>
                <w:color w:val="auto"/>
                <w:kern w:val="0"/>
                <w:sz w:val="20"/>
              </w:rPr>
            </w:pPr>
            <w:r>
              <w:rPr>
                <w:rFonts w:hint="eastAsia" w:ascii="宋体" w:hAnsi="宋体" w:eastAsia="宋体" w:cs="宋体"/>
                <w:color w:val="auto"/>
                <w:kern w:val="0"/>
                <w:sz w:val="20"/>
              </w:rPr>
              <w:t>2.9195</w:t>
            </w:r>
          </w:p>
        </w:tc>
      </w:tr>
    </w:tbl>
    <w:p>
      <w:pPr>
        <w:tabs>
          <w:tab w:val="center" w:pos="1399"/>
        </w:tabs>
        <w:spacing w:line="240" w:lineRule="exact"/>
        <w:rPr>
          <w:rFonts w:eastAsia="宋体"/>
          <w:b/>
          <w:kern w:val="28"/>
          <w:sz w:val="18"/>
          <w:szCs w:val="24"/>
        </w:rPr>
        <w:sectPr>
          <w:pgSz w:w="16838" w:h="11906" w:orient="landscape"/>
          <w:pgMar w:top="1800" w:right="1440" w:bottom="1800" w:left="1440" w:header="851" w:footer="1559" w:gutter="0"/>
          <w:cols w:space="720" w:num="1"/>
          <w:docGrid w:type="linesAndChars" w:linePitch="579" w:charSpace="-842"/>
        </w:sectPr>
      </w:pPr>
    </w:p>
    <w:p>
      <w:pPr>
        <w:pStyle w:val="2"/>
        <w:spacing w:before="289" w:beforeLines="50" w:after="289" w:afterLines="50" w:line="240" w:lineRule="auto"/>
        <w:rPr>
          <w:rFonts w:ascii="黑体" w:hAnsi="黑体" w:eastAsia="黑体"/>
          <w:bCs w:val="0"/>
          <w:sz w:val="32"/>
          <w:szCs w:val="32"/>
        </w:rPr>
      </w:pPr>
      <w:bookmarkStart w:id="57" w:name="_Toc487012061"/>
      <w:r>
        <w:rPr>
          <w:rFonts w:hint="eastAsia" w:ascii="黑体" w:hAnsi="黑体" w:eastAsia="黑体"/>
          <w:bCs w:val="0"/>
          <w:sz w:val="32"/>
          <w:szCs w:val="32"/>
        </w:rPr>
        <w:t>附图</w:t>
      </w:r>
      <w:bookmarkEnd w:id="57"/>
    </w:p>
    <w:p>
      <w:pPr>
        <w:spacing w:line="240" w:lineRule="atLeast"/>
        <w:jc w:val="center"/>
      </w:pPr>
      <w:r>
        <w:drawing>
          <wp:inline distT="0" distB="0" distL="0" distR="0">
            <wp:extent cx="10028555" cy="7090410"/>
            <wp:effectExtent l="0" t="0" r="0" b="0"/>
            <wp:docPr id="1" name="图片 1" descr="C:\Users\lishuying\Desktop\附图2 伴沙排洪渠流域范围行政区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ishuying\Desktop\附图2 伴沙排洪渠流域范围行政区划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034938" cy="7095051"/>
                    </a:xfrm>
                    <a:prstGeom prst="rect">
                      <a:avLst/>
                    </a:prstGeom>
                    <a:noFill/>
                    <a:ln>
                      <a:noFill/>
                    </a:ln>
                  </pic:spPr>
                </pic:pic>
              </a:graphicData>
            </a:graphic>
          </wp:inline>
        </w:drawing>
      </w:r>
    </w:p>
    <w:p>
      <w:pPr>
        <w:spacing w:after="289" w:afterLines="50"/>
        <w:jc w:val="center"/>
        <w:rPr>
          <w:b/>
          <w:sz w:val="28"/>
          <w:szCs w:val="21"/>
        </w:rPr>
      </w:pPr>
      <w:r>
        <w:rPr>
          <w:rFonts w:hint="eastAsia"/>
          <w:b/>
          <w:sz w:val="28"/>
          <w:szCs w:val="21"/>
        </w:rPr>
        <w:t>附图</w:t>
      </w:r>
      <w:r>
        <w:rPr>
          <w:b/>
          <w:sz w:val="28"/>
          <w:szCs w:val="21"/>
        </w:rPr>
        <w:t xml:space="preserve">1. </w:t>
      </w:r>
      <w:r>
        <w:rPr>
          <w:rFonts w:hint="eastAsia"/>
          <w:b/>
          <w:sz w:val="28"/>
          <w:szCs w:val="21"/>
        </w:rPr>
        <w:t>泮沙排洪渠整治范围图</w:t>
      </w:r>
    </w:p>
    <w:p>
      <w:pPr>
        <w:tabs>
          <w:tab w:val="center" w:pos="1399"/>
        </w:tabs>
        <w:spacing w:line="240" w:lineRule="atLeast"/>
        <w:jc w:val="center"/>
        <w:rPr>
          <w:rFonts w:eastAsia="宋体"/>
          <w:b/>
          <w:kern w:val="28"/>
          <w:sz w:val="21"/>
          <w:szCs w:val="24"/>
        </w:rPr>
      </w:pPr>
      <w:r>
        <w:rPr>
          <w:rFonts w:eastAsia="宋体"/>
          <w:b/>
          <w:kern w:val="28"/>
          <w:sz w:val="21"/>
          <w:szCs w:val="24"/>
        </w:rPr>
        <w:drawing>
          <wp:inline distT="0" distB="0" distL="0" distR="0">
            <wp:extent cx="10696575" cy="7559675"/>
            <wp:effectExtent l="0" t="0" r="9525" b="3175"/>
            <wp:docPr id="5" name="图片 5" descr="F:\中山泮沙排洪渠方案\附图1 伴沙排洪渠流域范围\附图5-2 伴沙排洪渠重点污染源分布及控源建议图（170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中山泮沙排洪渠方案\附图1 伴沙排洪渠流域范围\附图5-2 伴沙排洪渠重点污染源分布及控源建议图（17072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696575" cy="7559675"/>
                    </a:xfrm>
                    <a:prstGeom prst="rect">
                      <a:avLst/>
                    </a:prstGeom>
                    <a:noFill/>
                    <a:ln>
                      <a:noFill/>
                    </a:ln>
                  </pic:spPr>
                </pic:pic>
              </a:graphicData>
            </a:graphic>
          </wp:inline>
        </w:drawing>
      </w:r>
    </w:p>
    <w:p>
      <w:pPr>
        <w:spacing w:after="289" w:afterLines="50"/>
        <w:jc w:val="center"/>
        <w:rPr>
          <w:b/>
          <w:sz w:val="28"/>
          <w:szCs w:val="21"/>
        </w:rPr>
      </w:pPr>
      <w:r>
        <w:rPr>
          <w:rFonts w:hint="eastAsia"/>
          <w:b/>
          <w:sz w:val="28"/>
          <w:szCs w:val="21"/>
        </w:rPr>
        <w:t>附图</w:t>
      </w:r>
      <w:r>
        <w:rPr>
          <w:b/>
          <w:sz w:val="28"/>
          <w:szCs w:val="21"/>
        </w:rPr>
        <w:t xml:space="preserve">2. </w:t>
      </w:r>
      <w:r>
        <w:rPr>
          <w:rFonts w:hint="eastAsia"/>
          <w:b/>
          <w:sz w:val="28"/>
          <w:szCs w:val="21"/>
        </w:rPr>
        <w:t>泮沙排洪渠重点污染企业分布</w:t>
      </w:r>
      <w:r>
        <w:rPr>
          <w:b/>
          <w:sz w:val="28"/>
          <w:szCs w:val="21"/>
        </w:rPr>
        <w:t>及</w:t>
      </w:r>
      <w:r>
        <w:rPr>
          <w:rFonts w:hint="eastAsia"/>
          <w:b/>
          <w:sz w:val="28"/>
          <w:szCs w:val="21"/>
        </w:rPr>
        <w:t>废</w:t>
      </w:r>
      <w:r>
        <w:rPr>
          <w:b/>
          <w:sz w:val="28"/>
          <w:szCs w:val="21"/>
        </w:rPr>
        <w:t>水</w:t>
      </w:r>
      <w:r>
        <w:rPr>
          <w:rFonts w:hint="eastAsia"/>
          <w:b/>
          <w:sz w:val="28"/>
          <w:szCs w:val="21"/>
        </w:rPr>
        <w:t>控</w:t>
      </w:r>
      <w:r>
        <w:rPr>
          <w:b/>
          <w:sz w:val="28"/>
          <w:szCs w:val="21"/>
        </w:rPr>
        <w:t>源</w:t>
      </w:r>
      <w:r>
        <w:rPr>
          <w:rFonts w:hint="eastAsia"/>
          <w:b/>
          <w:sz w:val="28"/>
          <w:szCs w:val="21"/>
        </w:rPr>
        <w:t>建议示意图</w:t>
      </w:r>
    </w:p>
    <w:p>
      <w:pPr>
        <w:tabs>
          <w:tab w:val="center" w:pos="1399"/>
        </w:tabs>
        <w:spacing w:line="240" w:lineRule="atLeast"/>
        <w:jc w:val="center"/>
        <w:rPr>
          <w:rFonts w:eastAsia="宋体"/>
          <w:b/>
          <w:kern w:val="28"/>
          <w:sz w:val="21"/>
          <w:szCs w:val="24"/>
        </w:rPr>
      </w:pPr>
    </w:p>
    <w:p>
      <w:pPr>
        <w:tabs>
          <w:tab w:val="center" w:pos="1399"/>
        </w:tabs>
        <w:spacing w:line="240" w:lineRule="atLeast"/>
        <w:jc w:val="center"/>
        <w:rPr>
          <w:rFonts w:eastAsia="宋体"/>
          <w:b/>
          <w:kern w:val="28"/>
          <w:sz w:val="21"/>
          <w:szCs w:val="24"/>
        </w:rPr>
      </w:pPr>
      <w:r>
        <w:rPr>
          <w:rFonts w:eastAsia="Times New Roman"/>
          <w:snapToGrid w:val="0"/>
          <w:w w:val="0"/>
          <w:kern w:val="0"/>
          <w:sz w:val="0"/>
          <w:szCs w:val="0"/>
          <w:u w:color="000000"/>
          <w:shd w:val="clear" w:color="000000" w:fill="000000"/>
          <w:lang w:val="zh-CN" w:bidi="zh-CN"/>
        </w:rPr>
        <w:t xml:space="preserve"> </w:t>
      </w:r>
      <w:r>
        <w:rPr>
          <w:rFonts w:eastAsia="Times New Roman"/>
          <w:snapToGrid w:val="0"/>
          <w:w w:val="0"/>
          <w:kern w:val="0"/>
          <w:sz w:val="0"/>
          <w:szCs w:val="0"/>
          <w:u w:color="000000"/>
          <w:shd w:val="clear" w:color="000000" w:fill="000000"/>
        </w:rPr>
        <w:drawing>
          <wp:inline distT="0" distB="0" distL="0" distR="0">
            <wp:extent cx="10696575" cy="7559675"/>
            <wp:effectExtent l="0" t="0" r="9525" b="3175"/>
            <wp:docPr id="6" name="图片 6" descr="F:\中山泮沙排洪渠方案\附图1 伴沙排洪渠流域范围\附图6 伴沙排洪渠管网分布图（反馈修改17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中山泮沙排洪渠方案\附图1 伴沙排洪渠流域范围\附图6 伴沙排洪渠管网分布图（反馈修改17061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0696575" cy="7559675"/>
                    </a:xfrm>
                    <a:prstGeom prst="rect">
                      <a:avLst/>
                    </a:prstGeom>
                    <a:noFill/>
                    <a:ln>
                      <a:noFill/>
                    </a:ln>
                  </pic:spPr>
                </pic:pic>
              </a:graphicData>
            </a:graphic>
          </wp:inline>
        </w:drawing>
      </w:r>
      <w:r>
        <w:rPr>
          <w:rFonts w:eastAsia="宋体"/>
          <w:b/>
          <w:kern w:val="28"/>
          <w:sz w:val="21"/>
          <w:szCs w:val="24"/>
        </w:rPr>
        <w:t xml:space="preserve"> </w:t>
      </w:r>
    </w:p>
    <w:p>
      <w:pPr>
        <w:spacing w:after="289" w:afterLines="50"/>
        <w:jc w:val="center"/>
        <w:rPr>
          <w:b/>
          <w:sz w:val="28"/>
          <w:szCs w:val="21"/>
        </w:rPr>
      </w:pPr>
      <w:r>
        <w:rPr>
          <w:rFonts w:hint="eastAsia"/>
          <w:b/>
          <w:sz w:val="28"/>
          <w:szCs w:val="21"/>
        </w:rPr>
        <w:t>附图</w:t>
      </w:r>
      <w:r>
        <w:rPr>
          <w:b/>
          <w:sz w:val="28"/>
          <w:szCs w:val="21"/>
        </w:rPr>
        <w:t xml:space="preserve">3. </w:t>
      </w:r>
      <w:r>
        <w:rPr>
          <w:rFonts w:hint="eastAsia"/>
          <w:b/>
          <w:sz w:val="28"/>
          <w:szCs w:val="21"/>
        </w:rPr>
        <w:t>南朗横门污水处理厂污水管网分布示意图</w:t>
      </w:r>
    </w:p>
    <w:sectPr>
      <w:headerReference r:id="rId8" w:type="default"/>
      <w:footerReference r:id="rId9" w:type="default"/>
      <w:pgSz w:w="23814" w:h="16839" w:orient="landscape"/>
      <w:pgMar w:top="1800" w:right="1440" w:bottom="1800" w:left="1440" w:header="851" w:footer="1559" w:gutter="0"/>
      <w:cols w:space="720" w:num="1"/>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Lucida Grande">
    <w:altName w:val="Microsoft Sans Serif"/>
    <w:panose1 w:val="00000000000000000000"/>
    <w:charset w:val="00"/>
    <w:family w:val="auto"/>
    <w:pitch w:val="default"/>
    <w:sig w:usb0="00000000" w:usb1="00000000" w:usb2="00000000" w:usb3="00000000" w:csb0="000001BF" w:csb1="00000000"/>
  </w:font>
  <w:font w:name="Microsoft Sans Serif">
    <w:panose1 w:val="020B0604020202020204"/>
    <w:charset w:val="00"/>
    <w:family w:val="auto"/>
    <w:pitch w:val="default"/>
    <w:sig w:usb0="E1002AFF" w:usb1="C0000002" w:usb2="00000008" w:usb3="00000000" w:csb0="200101FF" w:csb1="2028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7310" cy="172720"/>
              <wp:effectExtent l="0" t="0" r="8890" b="17780"/>
              <wp:wrapNone/>
              <wp:docPr id="4" name="文本框6"/>
              <wp:cNvGraphicFramePr/>
              <a:graphic xmlns:a="http://schemas.openxmlformats.org/drawingml/2006/main">
                <a:graphicData uri="http://schemas.microsoft.com/office/word/2010/wordprocessingShape">
                  <wps:wsp>
                    <wps:cNvSpPr>
                      <a:spLocks noChangeArrowheads="1"/>
                    </wps:cNvSpPr>
                    <wps:spPr bwMode="auto">
                      <a:xfrm>
                        <a:off x="0" y="0"/>
                        <a:ext cx="67310" cy="172720"/>
                      </a:xfrm>
                      <a:prstGeom prst="rect">
                        <a:avLst/>
                      </a:prstGeom>
                      <a:noFill/>
                      <a:ln>
                        <a:noFill/>
                      </a:ln>
                    </wps:spPr>
                    <wps:txbx>
                      <w:txbxContent>
                        <w:p>
                          <w:pPr>
                            <w:pStyle w:val="14"/>
                            <w:rPr>
                              <w:rFonts w:ascii="宋体" w:hAnsi="宋体"/>
                              <w:sz w:val="24"/>
                              <w:szCs w:val="24"/>
                            </w:rPr>
                          </w:pPr>
                          <w:r>
                            <w:rPr>
                              <w:rFonts w:hint="eastAsia" w:ascii="宋体" w:hAnsi="宋体"/>
                              <w:sz w:val="21"/>
                              <w:szCs w:val="21"/>
                            </w:rPr>
                            <w:fldChar w:fldCharType="begin"/>
                          </w:r>
                          <w:r>
                            <w:rPr>
                              <w:rStyle w:val="29"/>
                              <w:rFonts w:hint="eastAsia" w:ascii="宋体" w:hAnsi="宋体"/>
                              <w:sz w:val="21"/>
                              <w:szCs w:val="21"/>
                            </w:rPr>
                            <w:instrText xml:space="preserve"> PAGE  </w:instrText>
                          </w:r>
                          <w:r>
                            <w:rPr>
                              <w:rFonts w:hint="eastAsia" w:ascii="宋体" w:hAnsi="宋体"/>
                              <w:sz w:val="21"/>
                              <w:szCs w:val="21"/>
                            </w:rPr>
                            <w:fldChar w:fldCharType="separate"/>
                          </w:r>
                          <w:r>
                            <w:rPr>
                              <w:rStyle w:val="29"/>
                              <w:rFonts w:ascii="宋体" w:hAnsi="宋体"/>
                              <w:sz w:val="21"/>
                              <w:szCs w:val="21"/>
                            </w:rPr>
                            <w:t>II</w:t>
                          </w:r>
                          <w:r>
                            <w:rPr>
                              <w:rFonts w:hint="eastAsia" w:ascii="宋体" w:hAnsi="宋体"/>
                              <w:sz w:val="21"/>
                              <w:szCs w:val="21"/>
                            </w:rPr>
                            <w:fldChar w:fldCharType="end"/>
                          </w:r>
                          <w:r>
                            <w:rPr>
                              <w:rStyle w:val="29"/>
                              <w:rFonts w:hint="eastAsia" w:ascii="宋体" w:hAnsi="宋体"/>
                              <w:sz w:val="24"/>
                              <w:szCs w:val="24"/>
                            </w:rPr>
                            <w:t xml:space="preserve"> </w:t>
                          </w:r>
                        </w:p>
                      </w:txbxContent>
                    </wps:txbx>
                    <wps:bodyPr rot="0" vert="horz" wrap="none" lIns="0" tIns="0" rIns="0" bIns="0" anchor="t" anchorCtr="0" upright="1">
                      <a:spAutoFit/>
                    </wps:bodyPr>
                  </wps:wsp>
                </a:graphicData>
              </a:graphic>
            </wp:anchor>
          </w:drawing>
        </mc:Choice>
        <mc:Fallback>
          <w:pict>
            <v:rect id="文本框6" o:spid="_x0000_s1026" o:spt="1" style="position:absolute;left:0pt;margin-top:0pt;height:13.6pt;width:5.3pt;mso-position-horizontal:center;mso-position-horizontal-relative:margin;mso-wrap-style:none;z-index:251660288;mso-width-relative:page;mso-height-relative:page;" filled="f" stroked="f" coordsize="21600,21600" o:gfxdata="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M6ZsLRAAAAAwEAAA8AAAAAAAAAAQAgAAAAIgAAAGRycy9kb3ducmV2&#10;LnhtbFBLAQIUABQAAAAIAIdO4kAtYBnWAwIAAPYDAAAOAAAAAAAAAAEAIAAAACABAABkcnMvZTJv&#10;RG9jLnhtbFBLBQYAAAAABgAGAFkBAACVBQAAAAA=&#10;">
              <v:fill on="f" focussize="0,0"/>
              <v:stroke on="f"/>
              <v:imagedata o:title=""/>
              <o:lock v:ext="edit" aspectratio="f"/>
              <v:textbox inset="0mm,0mm,0mm,0mm" style="mso-fit-shape-to-text:t;">
                <w:txbxContent>
                  <w:p>
                    <w:pPr>
                      <w:pStyle w:val="14"/>
                      <w:rPr>
                        <w:rFonts w:ascii="宋体" w:hAnsi="宋体"/>
                        <w:sz w:val="24"/>
                        <w:szCs w:val="24"/>
                      </w:rPr>
                    </w:pPr>
                    <w:r>
                      <w:rPr>
                        <w:rFonts w:hint="eastAsia" w:ascii="宋体" w:hAnsi="宋体"/>
                        <w:sz w:val="21"/>
                        <w:szCs w:val="21"/>
                      </w:rPr>
                      <w:fldChar w:fldCharType="begin"/>
                    </w:r>
                    <w:r>
                      <w:rPr>
                        <w:rStyle w:val="29"/>
                        <w:rFonts w:hint="eastAsia" w:ascii="宋体" w:hAnsi="宋体"/>
                        <w:sz w:val="21"/>
                        <w:szCs w:val="21"/>
                      </w:rPr>
                      <w:instrText xml:space="preserve"> PAGE  </w:instrText>
                    </w:r>
                    <w:r>
                      <w:rPr>
                        <w:rFonts w:hint="eastAsia" w:ascii="宋体" w:hAnsi="宋体"/>
                        <w:sz w:val="21"/>
                        <w:szCs w:val="21"/>
                      </w:rPr>
                      <w:fldChar w:fldCharType="separate"/>
                    </w:r>
                    <w:r>
                      <w:rPr>
                        <w:rStyle w:val="29"/>
                        <w:rFonts w:ascii="宋体" w:hAnsi="宋体"/>
                        <w:sz w:val="21"/>
                        <w:szCs w:val="21"/>
                      </w:rPr>
                      <w:t>II</w:t>
                    </w:r>
                    <w:r>
                      <w:rPr>
                        <w:rFonts w:hint="eastAsia" w:ascii="宋体" w:hAnsi="宋体"/>
                        <w:sz w:val="21"/>
                        <w:szCs w:val="21"/>
                      </w:rPr>
                      <w:fldChar w:fldCharType="end"/>
                    </w:r>
                    <w:r>
                      <w:rPr>
                        <w:rStyle w:val="29"/>
                        <w:rFonts w:hint="eastAsia" w:ascii="宋体" w:hAnsi="宋体"/>
                        <w:sz w:val="24"/>
                        <w:szCs w:val="24"/>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67310" cy="172720"/>
              <wp:effectExtent l="0" t="0" r="8890" b="17780"/>
              <wp:wrapNone/>
              <wp:docPr id="9" name="文本框6"/>
              <wp:cNvGraphicFramePr/>
              <a:graphic xmlns:a="http://schemas.openxmlformats.org/drawingml/2006/main">
                <a:graphicData uri="http://schemas.microsoft.com/office/word/2010/wordprocessingShape">
                  <wps:wsp>
                    <wps:cNvSpPr>
                      <a:spLocks noChangeArrowheads="1"/>
                    </wps:cNvSpPr>
                    <wps:spPr bwMode="auto">
                      <a:xfrm>
                        <a:off x="0" y="0"/>
                        <a:ext cx="67310" cy="172720"/>
                      </a:xfrm>
                      <a:prstGeom prst="rect">
                        <a:avLst/>
                      </a:prstGeom>
                      <a:noFill/>
                      <a:ln>
                        <a:noFill/>
                      </a:ln>
                    </wps:spPr>
                    <wps:txbx>
                      <w:txbxContent>
                        <w:p>
                          <w:pPr>
                            <w:pStyle w:val="14"/>
                            <w:rPr>
                              <w:rFonts w:ascii="宋体" w:hAnsi="宋体"/>
                              <w:sz w:val="24"/>
                              <w:szCs w:val="24"/>
                            </w:rPr>
                          </w:pPr>
                          <w:r>
                            <w:rPr>
                              <w:rFonts w:hint="eastAsia" w:ascii="宋体" w:hAnsi="宋体"/>
                              <w:sz w:val="21"/>
                              <w:szCs w:val="21"/>
                            </w:rPr>
                            <w:fldChar w:fldCharType="begin"/>
                          </w:r>
                          <w:r>
                            <w:rPr>
                              <w:rStyle w:val="29"/>
                              <w:rFonts w:hint="eastAsia" w:ascii="宋体" w:hAnsi="宋体"/>
                              <w:sz w:val="21"/>
                              <w:szCs w:val="21"/>
                            </w:rPr>
                            <w:instrText xml:space="preserve"> PAGE  </w:instrText>
                          </w:r>
                          <w:r>
                            <w:rPr>
                              <w:rFonts w:hint="eastAsia" w:ascii="宋体" w:hAnsi="宋体"/>
                              <w:sz w:val="21"/>
                              <w:szCs w:val="21"/>
                            </w:rPr>
                            <w:fldChar w:fldCharType="separate"/>
                          </w:r>
                          <w:r>
                            <w:rPr>
                              <w:rStyle w:val="29"/>
                              <w:rFonts w:ascii="宋体" w:hAnsi="宋体"/>
                              <w:sz w:val="21"/>
                              <w:szCs w:val="21"/>
                            </w:rPr>
                            <w:t>22</w:t>
                          </w:r>
                          <w:r>
                            <w:rPr>
                              <w:rFonts w:hint="eastAsia" w:ascii="宋体" w:hAnsi="宋体"/>
                              <w:sz w:val="21"/>
                              <w:szCs w:val="21"/>
                            </w:rPr>
                            <w:fldChar w:fldCharType="end"/>
                          </w:r>
                          <w:r>
                            <w:rPr>
                              <w:rStyle w:val="29"/>
                              <w:rFonts w:hint="eastAsia" w:ascii="宋体" w:hAnsi="宋体"/>
                              <w:sz w:val="24"/>
                              <w:szCs w:val="24"/>
                            </w:rPr>
                            <w:t xml:space="preserve"> </w:t>
                          </w:r>
                        </w:p>
                      </w:txbxContent>
                    </wps:txbx>
                    <wps:bodyPr rot="0" vert="horz" wrap="none" lIns="0" tIns="0" rIns="0" bIns="0" anchor="t" anchorCtr="0" upright="1">
                      <a:spAutoFit/>
                    </wps:bodyPr>
                  </wps:wsp>
                </a:graphicData>
              </a:graphic>
            </wp:anchor>
          </w:drawing>
        </mc:Choice>
        <mc:Fallback>
          <w:pict>
            <v:rect id="文本框6" o:spid="_x0000_s1026" o:spt="1" style="position:absolute;left:0pt;margin-top:0pt;height:13.6pt;width:5.3pt;mso-position-horizontal:center;mso-position-horizontal-relative:margin;mso-wrap-style:none;z-index:251661312;mso-width-relative:page;mso-height-relative:page;" filled="f" stroked="f" coordsize="21600,21600" o:gfxdata="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M6ZsLRAAAAAwEAAA8AAAAAAAAAAQAgAAAAIgAAAGRycy9kb3ducmV2&#10;LnhtbFBLAQIUABQAAAAIAIdO4kCYbk9mAwIAAPYDAAAOAAAAAAAAAAEAIAAAACABAABkcnMvZTJv&#10;RG9jLnhtbFBLBQYAAAAABgAGAFkBAACVBQAAAAA=&#10;">
              <v:fill on="f" focussize="0,0"/>
              <v:stroke on="f"/>
              <v:imagedata o:title=""/>
              <o:lock v:ext="edit" aspectratio="f"/>
              <v:textbox inset="0mm,0mm,0mm,0mm" style="mso-fit-shape-to-text:t;">
                <w:txbxContent>
                  <w:p>
                    <w:pPr>
                      <w:pStyle w:val="14"/>
                      <w:rPr>
                        <w:rFonts w:ascii="宋体" w:hAnsi="宋体"/>
                        <w:sz w:val="24"/>
                        <w:szCs w:val="24"/>
                      </w:rPr>
                    </w:pPr>
                    <w:r>
                      <w:rPr>
                        <w:rFonts w:hint="eastAsia" w:ascii="宋体" w:hAnsi="宋体"/>
                        <w:sz w:val="21"/>
                        <w:szCs w:val="21"/>
                      </w:rPr>
                      <w:fldChar w:fldCharType="begin"/>
                    </w:r>
                    <w:r>
                      <w:rPr>
                        <w:rStyle w:val="29"/>
                        <w:rFonts w:hint="eastAsia" w:ascii="宋体" w:hAnsi="宋体"/>
                        <w:sz w:val="21"/>
                        <w:szCs w:val="21"/>
                      </w:rPr>
                      <w:instrText xml:space="preserve"> PAGE  </w:instrText>
                    </w:r>
                    <w:r>
                      <w:rPr>
                        <w:rFonts w:hint="eastAsia" w:ascii="宋体" w:hAnsi="宋体"/>
                        <w:sz w:val="21"/>
                        <w:szCs w:val="21"/>
                      </w:rPr>
                      <w:fldChar w:fldCharType="separate"/>
                    </w:r>
                    <w:r>
                      <w:rPr>
                        <w:rStyle w:val="29"/>
                        <w:rFonts w:ascii="宋体" w:hAnsi="宋体"/>
                        <w:sz w:val="21"/>
                        <w:szCs w:val="21"/>
                      </w:rPr>
                      <w:t>22</w:t>
                    </w:r>
                    <w:r>
                      <w:rPr>
                        <w:rFonts w:hint="eastAsia" w:ascii="宋体" w:hAnsi="宋体"/>
                        <w:sz w:val="21"/>
                        <w:szCs w:val="21"/>
                      </w:rPr>
                      <w:fldChar w:fldCharType="end"/>
                    </w:r>
                    <w:r>
                      <w:rPr>
                        <w:rStyle w:val="29"/>
                        <w:rFonts w:hint="eastAsia" w:ascii="宋体" w:hAnsi="宋体"/>
                        <w:sz w:val="24"/>
                        <w:szCs w:val="24"/>
                      </w:rPr>
                      <w:t xml:space="preserve"> </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6378"/>
        <w:tab w:val="clear" w:pos="4153"/>
        <w:tab w:val="clear" w:pos="8306"/>
      </w:tabs>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33985" cy="172720"/>
              <wp:effectExtent l="0" t="0" r="18415" b="17780"/>
              <wp:wrapNone/>
              <wp:docPr id="3" name="文本框21"/>
              <wp:cNvGraphicFramePr/>
              <a:graphic xmlns:a="http://schemas.openxmlformats.org/drawingml/2006/main">
                <a:graphicData uri="http://schemas.microsoft.com/office/word/2010/wordprocessingShape">
                  <wps:wsp>
                    <wps:cNvSpPr>
                      <a:spLocks noChangeArrowheads="1"/>
                    </wps:cNvSpPr>
                    <wps:spPr bwMode="auto">
                      <a:xfrm>
                        <a:off x="0" y="0"/>
                        <a:ext cx="133985" cy="172720"/>
                      </a:xfrm>
                      <a:prstGeom prst="rect">
                        <a:avLst/>
                      </a:prstGeom>
                      <a:noFill/>
                      <a:ln>
                        <a:noFill/>
                      </a:ln>
                    </wps:spPr>
                    <wps:txbx>
                      <w:txbxContent>
                        <w:p>
                          <w:pPr>
                            <w:pStyle w:val="14"/>
                            <w:rPr>
                              <w:rStyle w:val="29"/>
                              <w:rFonts w:ascii="宋体" w:hAnsi="宋体" w:eastAsia="宋体"/>
                              <w:sz w:val="28"/>
                              <w:szCs w:val="28"/>
                            </w:rPr>
                          </w:pPr>
                          <w:r>
                            <w:rPr>
                              <w:rFonts w:ascii="宋体" w:hAnsi="宋体" w:eastAsia="宋体"/>
                              <w:sz w:val="21"/>
                              <w:szCs w:val="21"/>
                            </w:rPr>
                            <w:fldChar w:fldCharType="begin"/>
                          </w:r>
                          <w:r>
                            <w:rPr>
                              <w:rStyle w:val="29"/>
                              <w:rFonts w:ascii="宋体" w:hAnsi="宋体" w:eastAsia="宋体"/>
                              <w:sz w:val="21"/>
                              <w:szCs w:val="21"/>
                            </w:rPr>
                            <w:instrText xml:space="preserve">PAGE  </w:instrText>
                          </w:r>
                          <w:r>
                            <w:rPr>
                              <w:rFonts w:ascii="宋体" w:hAnsi="宋体" w:eastAsia="宋体"/>
                              <w:sz w:val="21"/>
                              <w:szCs w:val="21"/>
                            </w:rPr>
                            <w:fldChar w:fldCharType="separate"/>
                          </w:r>
                          <w:r>
                            <w:rPr>
                              <w:rStyle w:val="29"/>
                              <w:rFonts w:ascii="宋体" w:hAnsi="宋体" w:eastAsia="宋体"/>
                              <w:sz w:val="21"/>
                              <w:szCs w:val="21"/>
                            </w:rPr>
                            <w:t>25</w:t>
                          </w:r>
                          <w:r>
                            <w:rPr>
                              <w:rFonts w:ascii="宋体" w:hAnsi="宋体" w:eastAsia="宋体"/>
                              <w:sz w:val="21"/>
                              <w:szCs w:val="21"/>
                            </w:rPr>
                            <w:fldChar w:fldCharType="end"/>
                          </w:r>
                        </w:p>
                      </w:txbxContent>
                    </wps:txbx>
                    <wps:bodyPr rot="0" vert="horz" wrap="none" lIns="0" tIns="0" rIns="0" bIns="0" anchor="t" anchorCtr="0" upright="1">
                      <a:spAutoFit/>
                    </wps:bodyPr>
                  </wps:wsp>
                </a:graphicData>
              </a:graphic>
            </wp:anchor>
          </w:drawing>
        </mc:Choice>
        <mc:Fallback>
          <w:pict>
            <v:rect id="文本框21" o:spid="_x0000_s1026" o:spt="1" style="position:absolute;left:0pt;margin-top:0pt;height:13.6pt;width:10.55pt;mso-position-horizontal:center;mso-position-horizontal-relative:margin;mso-wrap-style:none;z-index:251659264;mso-width-relative:page;mso-height-relative:page;" filled="f" stroked="f" coordsize="21600,21600" o:gfxdata="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OoOtNEAAAADAQAADwAAAAAAAAABACAAAAAiAAAAZHJzL2Rvd25y&#10;ZXYueG1sUEsBAhQAFAAAAAgAh07iQDmoxZAFAgAA+AMAAA4AAAAAAAAAAQAgAAAAIAEAAGRycy9l&#10;Mm9Eb2MueG1sUEsFBgAAAAAGAAYAWQEAAJcFAAAAAA==&#10;">
              <v:fill on="f" focussize="0,0"/>
              <v:stroke on="f"/>
              <v:imagedata o:title=""/>
              <o:lock v:ext="edit" aspectratio="f"/>
              <v:textbox inset="0mm,0mm,0mm,0mm" style="mso-fit-shape-to-text:t;">
                <w:txbxContent>
                  <w:p>
                    <w:pPr>
                      <w:pStyle w:val="14"/>
                      <w:rPr>
                        <w:rStyle w:val="29"/>
                        <w:rFonts w:ascii="宋体" w:hAnsi="宋体" w:eastAsia="宋体"/>
                        <w:sz w:val="28"/>
                        <w:szCs w:val="28"/>
                      </w:rPr>
                    </w:pPr>
                    <w:r>
                      <w:rPr>
                        <w:rFonts w:ascii="宋体" w:hAnsi="宋体" w:eastAsia="宋体"/>
                        <w:sz w:val="21"/>
                        <w:szCs w:val="21"/>
                      </w:rPr>
                      <w:fldChar w:fldCharType="begin"/>
                    </w:r>
                    <w:r>
                      <w:rPr>
                        <w:rStyle w:val="29"/>
                        <w:rFonts w:ascii="宋体" w:hAnsi="宋体" w:eastAsia="宋体"/>
                        <w:sz w:val="21"/>
                        <w:szCs w:val="21"/>
                      </w:rPr>
                      <w:instrText xml:space="preserve">PAGE  </w:instrText>
                    </w:r>
                    <w:r>
                      <w:rPr>
                        <w:rFonts w:ascii="宋体" w:hAnsi="宋体" w:eastAsia="宋体"/>
                        <w:sz w:val="21"/>
                        <w:szCs w:val="21"/>
                      </w:rPr>
                      <w:fldChar w:fldCharType="separate"/>
                    </w:r>
                    <w:r>
                      <w:rPr>
                        <w:rStyle w:val="29"/>
                        <w:rFonts w:ascii="宋体" w:hAnsi="宋体" w:eastAsia="宋体"/>
                        <w:sz w:val="21"/>
                        <w:szCs w:val="21"/>
                      </w:rPr>
                      <w:t>25</w:t>
                    </w:r>
                    <w:r>
                      <w:rPr>
                        <w:rFonts w:ascii="宋体" w:hAnsi="宋体" w:eastAsia="宋体"/>
                        <w:sz w:val="21"/>
                        <w:szCs w:val="21"/>
                      </w:rPr>
                      <w:fldChar w:fldCharType="end"/>
                    </w:r>
                  </w:p>
                </w:txbxContent>
              </v:textbox>
            </v:rect>
          </w:pict>
        </mc:Fallback>
      </mc:AlternateContent>
    </w:r>
    <w: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decimalEnclosedCircle"/>
      <w:pStyle w:val="61"/>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58"/>
  <w:drawingGridVerticalSpacing w:val="579"/>
  <w:displayHorizont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009A"/>
    <w:rsid w:val="00023148"/>
    <w:rsid w:val="00024426"/>
    <w:rsid w:val="00027A31"/>
    <w:rsid w:val="00030091"/>
    <w:rsid w:val="00034211"/>
    <w:rsid w:val="000344E6"/>
    <w:rsid w:val="00036117"/>
    <w:rsid w:val="00036585"/>
    <w:rsid w:val="00037D6F"/>
    <w:rsid w:val="00045153"/>
    <w:rsid w:val="00055AA3"/>
    <w:rsid w:val="00056DD6"/>
    <w:rsid w:val="0005790A"/>
    <w:rsid w:val="0006031C"/>
    <w:rsid w:val="00060AED"/>
    <w:rsid w:val="00067AE3"/>
    <w:rsid w:val="00071850"/>
    <w:rsid w:val="000739F7"/>
    <w:rsid w:val="00074AF0"/>
    <w:rsid w:val="00077D84"/>
    <w:rsid w:val="000849A9"/>
    <w:rsid w:val="00087C8E"/>
    <w:rsid w:val="0009114E"/>
    <w:rsid w:val="0009174D"/>
    <w:rsid w:val="00096151"/>
    <w:rsid w:val="000A062C"/>
    <w:rsid w:val="000A3A78"/>
    <w:rsid w:val="000B0D30"/>
    <w:rsid w:val="000B3C9F"/>
    <w:rsid w:val="000B3E81"/>
    <w:rsid w:val="000B4465"/>
    <w:rsid w:val="000C1C16"/>
    <w:rsid w:val="000C3401"/>
    <w:rsid w:val="000C3B4C"/>
    <w:rsid w:val="000C4B32"/>
    <w:rsid w:val="000C70E7"/>
    <w:rsid w:val="000E195B"/>
    <w:rsid w:val="000E54B6"/>
    <w:rsid w:val="001003C0"/>
    <w:rsid w:val="00105D31"/>
    <w:rsid w:val="00107E98"/>
    <w:rsid w:val="00117280"/>
    <w:rsid w:val="00121C2B"/>
    <w:rsid w:val="0012455A"/>
    <w:rsid w:val="00124C9F"/>
    <w:rsid w:val="00126623"/>
    <w:rsid w:val="00130EE6"/>
    <w:rsid w:val="00135063"/>
    <w:rsid w:val="00135354"/>
    <w:rsid w:val="00147797"/>
    <w:rsid w:val="00152027"/>
    <w:rsid w:val="0015214B"/>
    <w:rsid w:val="0015468E"/>
    <w:rsid w:val="00155A53"/>
    <w:rsid w:val="00157801"/>
    <w:rsid w:val="0016013A"/>
    <w:rsid w:val="001633F2"/>
    <w:rsid w:val="00166B40"/>
    <w:rsid w:val="001712BA"/>
    <w:rsid w:val="00172A27"/>
    <w:rsid w:val="00182A9F"/>
    <w:rsid w:val="00182BED"/>
    <w:rsid w:val="00183A72"/>
    <w:rsid w:val="00184067"/>
    <w:rsid w:val="00184AF2"/>
    <w:rsid w:val="00185DA1"/>
    <w:rsid w:val="00185E4A"/>
    <w:rsid w:val="00193B72"/>
    <w:rsid w:val="00194E8C"/>
    <w:rsid w:val="0019552D"/>
    <w:rsid w:val="001A357E"/>
    <w:rsid w:val="001A608A"/>
    <w:rsid w:val="001A6147"/>
    <w:rsid w:val="001A635C"/>
    <w:rsid w:val="001B1799"/>
    <w:rsid w:val="001B33D2"/>
    <w:rsid w:val="001B4963"/>
    <w:rsid w:val="001B4C31"/>
    <w:rsid w:val="001C4047"/>
    <w:rsid w:val="001C436F"/>
    <w:rsid w:val="001D0C36"/>
    <w:rsid w:val="001D1AB0"/>
    <w:rsid w:val="001D2B22"/>
    <w:rsid w:val="001D4284"/>
    <w:rsid w:val="001D5F5F"/>
    <w:rsid w:val="001E1271"/>
    <w:rsid w:val="001E605E"/>
    <w:rsid w:val="001E71CF"/>
    <w:rsid w:val="001F6C93"/>
    <w:rsid w:val="002017A2"/>
    <w:rsid w:val="00213230"/>
    <w:rsid w:val="00215273"/>
    <w:rsid w:val="00222677"/>
    <w:rsid w:val="00222707"/>
    <w:rsid w:val="00226276"/>
    <w:rsid w:val="002309D5"/>
    <w:rsid w:val="00237490"/>
    <w:rsid w:val="00237630"/>
    <w:rsid w:val="002377F2"/>
    <w:rsid w:val="00246352"/>
    <w:rsid w:val="00250FC5"/>
    <w:rsid w:val="0025155B"/>
    <w:rsid w:val="0025707B"/>
    <w:rsid w:val="00257796"/>
    <w:rsid w:val="0026666F"/>
    <w:rsid w:val="002676B0"/>
    <w:rsid w:val="00282BAF"/>
    <w:rsid w:val="0029114B"/>
    <w:rsid w:val="00291D82"/>
    <w:rsid w:val="002A3BD1"/>
    <w:rsid w:val="002A57E9"/>
    <w:rsid w:val="002B3364"/>
    <w:rsid w:val="002C28E9"/>
    <w:rsid w:val="002C6448"/>
    <w:rsid w:val="002D54AA"/>
    <w:rsid w:val="002D5CBE"/>
    <w:rsid w:val="002D6732"/>
    <w:rsid w:val="002E02E1"/>
    <w:rsid w:val="002E06D6"/>
    <w:rsid w:val="002E0896"/>
    <w:rsid w:val="002E0993"/>
    <w:rsid w:val="002E2F34"/>
    <w:rsid w:val="002E4C32"/>
    <w:rsid w:val="002E58C0"/>
    <w:rsid w:val="002F2A1A"/>
    <w:rsid w:val="002F306D"/>
    <w:rsid w:val="002F3E72"/>
    <w:rsid w:val="002F762B"/>
    <w:rsid w:val="00304DAA"/>
    <w:rsid w:val="00315E7B"/>
    <w:rsid w:val="003238BC"/>
    <w:rsid w:val="00325763"/>
    <w:rsid w:val="0033179E"/>
    <w:rsid w:val="003379BA"/>
    <w:rsid w:val="003419F2"/>
    <w:rsid w:val="0034274E"/>
    <w:rsid w:val="00344554"/>
    <w:rsid w:val="003461C0"/>
    <w:rsid w:val="00350B15"/>
    <w:rsid w:val="00353E36"/>
    <w:rsid w:val="003551C9"/>
    <w:rsid w:val="00355A87"/>
    <w:rsid w:val="00356553"/>
    <w:rsid w:val="003628D5"/>
    <w:rsid w:val="00363E7A"/>
    <w:rsid w:val="0036692D"/>
    <w:rsid w:val="00366C86"/>
    <w:rsid w:val="00367B24"/>
    <w:rsid w:val="00367C53"/>
    <w:rsid w:val="00373F85"/>
    <w:rsid w:val="003743B2"/>
    <w:rsid w:val="00376F13"/>
    <w:rsid w:val="003801A0"/>
    <w:rsid w:val="00380E88"/>
    <w:rsid w:val="0039424C"/>
    <w:rsid w:val="00395E2A"/>
    <w:rsid w:val="00397DBC"/>
    <w:rsid w:val="003A7195"/>
    <w:rsid w:val="003A7830"/>
    <w:rsid w:val="003A7D53"/>
    <w:rsid w:val="003B0B90"/>
    <w:rsid w:val="003B3186"/>
    <w:rsid w:val="003B42DE"/>
    <w:rsid w:val="003B581E"/>
    <w:rsid w:val="003C06F0"/>
    <w:rsid w:val="003C1C26"/>
    <w:rsid w:val="003C4559"/>
    <w:rsid w:val="003D4C47"/>
    <w:rsid w:val="003D64A7"/>
    <w:rsid w:val="003E0110"/>
    <w:rsid w:val="003E0FB5"/>
    <w:rsid w:val="003E121A"/>
    <w:rsid w:val="003E153A"/>
    <w:rsid w:val="003E1636"/>
    <w:rsid w:val="003F2751"/>
    <w:rsid w:val="003F390D"/>
    <w:rsid w:val="00401E5D"/>
    <w:rsid w:val="00402568"/>
    <w:rsid w:val="00404509"/>
    <w:rsid w:val="00410225"/>
    <w:rsid w:val="00411E79"/>
    <w:rsid w:val="00411F56"/>
    <w:rsid w:val="0041714B"/>
    <w:rsid w:val="004207E3"/>
    <w:rsid w:val="0042303E"/>
    <w:rsid w:val="00424F2E"/>
    <w:rsid w:val="00432E6E"/>
    <w:rsid w:val="0043489C"/>
    <w:rsid w:val="004355DB"/>
    <w:rsid w:val="00444DAC"/>
    <w:rsid w:val="0044515A"/>
    <w:rsid w:val="00447147"/>
    <w:rsid w:val="00450E87"/>
    <w:rsid w:val="00452F84"/>
    <w:rsid w:val="00455A39"/>
    <w:rsid w:val="004577F8"/>
    <w:rsid w:val="00466FB7"/>
    <w:rsid w:val="0047049A"/>
    <w:rsid w:val="00470CF7"/>
    <w:rsid w:val="00474AE5"/>
    <w:rsid w:val="00476466"/>
    <w:rsid w:val="00487E5F"/>
    <w:rsid w:val="00491F0B"/>
    <w:rsid w:val="0049734B"/>
    <w:rsid w:val="004A0FDD"/>
    <w:rsid w:val="004A4242"/>
    <w:rsid w:val="004A4D54"/>
    <w:rsid w:val="004A7C47"/>
    <w:rsid w:val="004B102C"/>
    <w:rsid w:val="004B3F6D"/>
    <w:rsid w:val="004B4B64"/>
    <w:rsid w:val="004C239D"/>
    <w:rsid w:val="004C2A16"/>
    <w:rsid w:val="004C365C"/>
    <w:rsid w:val="004D1742"/>
    <w:rsid w:val="004D3602"/>
    <w:rsid w:val="004E3A7F"/>
    <w:rsid w:val="004E69E7"/>
    <w:rsid w:val="004F1DC7"/>
    <w:rsid w:val="004F3412"/>
    <w:rsid w:val="004F5D10"/>
    <w:rsid w:val="004F7F39"/>
    <w:rsid w:val="00503BB4"/>
    <w:rsid w:val="00504F81"/>
    <w:rsid w:val="0050587E"/>
    <w:rsid w:val="0050718D"/>
    <w:rsid w:val="00510AF7"/>
    <w:rsid w:val="00517459"/>
    <w:rsid w:val="005205C2"/>
    <w:rsid w:val="0052093F"/>
    <w:rsid w:val="00520A7B"/>
    <w:rsid w:val="005316CB"/>
    <w:rsid w:val="0053286A"/>
    <w:rsid w:val="00534400"/>
    <w:rsid w:val="00543C20"/>
    <w:rsid w:val="00551CD8"/>
    <w:rsid w:val="00552A59"/>
    <w:rsid w:val="00555229"/>
    <w:rsid w:val="005556FB"/>
    <w:rsid w:val="00555D8B"/>
    <w:rsid w:val="00557131"/>
    <w:rsid w:val="0056216D"/>
    <w:rsid w:val="00570D2B"/>
    <w:rsid w:val="00572411"/>
    <w:rsid w:val="005737CE"/>
    <w:rsid w:val="005761E8"/>
    <w:rsid w:val="00576B52"/>
    <w:rsid w:val="0058270F"/>
    <w:rsid w:val="0058476A"/>
    <w:rsid w:val="00592CBE"/>
    <w:rsid w:val="0059437C"/>
    <w:rsid w:val="00596F27"/>
    <w:rsid w:val="005A0454"/>
    <w:rsid w:val="005A0CFF"/>
    <w:rsid w:val="005A66F5"/>
    <w:rsid w:val="005B21B2"/>
    <w:rsid w:val="005B3D64"/>
    <w:rsid w:val="005C3C98"/>
    <w:rsid w:val="005C4639"/>
    <w:rsid w:val="005C4770"/>
    <w:rsid w:val="005C48BA"/>
    <w:rsid w:val="005C4A75"/>
    <w:rsid w:val="005D2816"/>
    <w:rsid w:val="005D577C"/>
    <w:rsid w:val="005E06EC"/>
    <w:rsid w:val="005E2CDD"/>
    <w:rsid w:val="005F09F8"/>
    <w:rsid w:val="005F0BD9"/>
    <w:rsid w:val="005F2268"/>
    <w:rsid w:val="005F588D"/>
    <w:rsid w:val="00600448"/>
    <w:rsid w:val="00600DFE"/>
    <w:rsid w:val="006034D0"/>
    <w:rsid w:val="00604089"/>
    <w:rsid w:val="00605622"/>
    <w:rsid w:val="00611796"/>
    <w:rsid w:val="006175B6"/>
    <w:rsid w:val="00617E3B"/>
    <w:rsid w:val="00621B90"/>
    <w:rsid w:val="00624156"/>
    <w:rsid w:val="006278B1"/>
    <w:rsid w:val="006324F1"/>
    <w:rsid w:val="00634C06"/>
    <w:rsid w:val="0064078F"/>
    <w:rsid w:val="006441D2"/>
    <w:rsid w:val="006446A2"/>
    <w:rsid w:val="00645EB8"/>
    <w:rsid w:val="00651A3D"/>
    <w:rsid w:val="00656BFE"/>
    <w:rsid w:val="006571B5"/>
    <w:rsid w:val="0065789B"/>
    <w:rsid w:val="0066208F"/>
    <w:rsid w:val="00662590"/>
    <w:rsid w:val="00664E84"/>
    <w:rsid w:val="0067072E"/>
    <w:rsid w:val="00671657"/>
    <w:rsid w:val="00673C08"/>
    <w:rsid w:val="00680E6F"/>
    <w:rsid w:val="0068104D"/>
    <w:rsid w:val="00691357"/>
    <w:rsid w:val="00692B4A"/>
    <w:rsid w:val="00692FCA"/>
    <w:rsid w:val="0069685C"/>
    <w:rsid w:val="00697770"/>
    <w:rsid w:val="00697CA8"/>
    <w:rsid w:val="006A2EC3"/>
    <w:rsid w:val="006B1CAF"/>
    <w:rsid w:val="006B465A"/>
    <w:rsid w:val="006B758A"/>
    <w:rsid w:val="006B7C0E"/>
    <w:rsid w:val="006C04E9"/>
    <w:rsid w:val="006C0CD4"/>
    <w:rsid w:val="006C2C1F"/>
    <w:rsid w:val="006C550F"/>
    <w:rsid w:val="006C6B0D"/>
    <w:rsid w:val="006C7CAD"/>
    <w:rsid w:val="006E25A5"/>
    <w:rsid w:val="006F7F5D"/>
    <w:rsid w:val="0070004D"/>
    <w:rsid w:val="00700E77"/>
    <w:rsid w:val="007018B0"/>
    <w:rsid w:val="00702C2D"/>
    <w:rsid w:val="00705763"/>
    <w:rsid w:val="007105A3"/>
    <w:rsid w:val="00710673"/>
    <w:rsid w:val="00713DEC"/>
    <w:rsid w:val="00715E5F"/>
    <w:rsid w:val="007162BE"/>
    <w:rsid w:val="00717D29"/>
    <w:rsid w:val="00723964"/>
    <w:rsid w:val="00726D4E"/>
    <w:rsid w:val="00731AD1"/>
    <w:rsid w:val="007330FE"/>
    <w:rsid w:val="00733365"/>
    <w:rsid w:val="0073438B"/>
    <w:rsid w:val="00740B72"/>
    <w:rsid w:val="00741B49"/>
    <w:rsid w:val="00741CAF"/>
    <w:rsid w:val="00741FF8"/>
    <w:rsid w:val="007436AA"/>
    <w:rsid w:val="007451A5"/>
    <w:rsid w:val="00746360"/>
    <w:rsid w:val="0075309E"/>
    <w:rsid w:val="0075700D"/>
    <w:rsid w:val="00764952"/>
    <w:rsid w:val="007652FA"/>
    <w:rsid w:val="00766ED1"/>
    <w:rsid w:val="00770902"/>
    <w:rsid w:val="00772754"/>
    <w:rsid w:val="00772962"/>
    <w:rsid w:val="007745B2"/>
    <w:rsid w:val="00777170"/>
    <w:rsid w:val="00777E4C"/>
    <w:rsid w:val="007811DC"/>
    <w:rsid w:val="00782F97"/>
    <w:rsid w:val="00785338"/>
    <w:rsid w:val="00785495"/>
    <w:rsid w:val="0078691C"/>
    <w:rsid w:val="00792F1E"/>
    <w:rsid w:val="007935F3"/>
    <w:rsid w:val="00796A93"/>
    <w:rsid w:val="00797811"/>
    <w:rsid w:val="00797E03"/>
    <w:rsid w:val="007A0A9F"/>
    <w:rsid w:val="007A11BD"/>
    <w:rsid w:val="007A2AFF"/>
    <w:rsid w:val="007A3663"/>
    <w:rsid w:val="007A398F"/>
    <w:rsid w:val="007A481B"/>
    <w:rsid w:val="007A54E7"/>
    <w:rsid w:val="007A6C25"/>
    <w:rsid w:val="007B0F25"/>
    <w:rsid w:val="007B2D6D"/>
    <w:rsid w:val="007B3050"/>
    <w:rsid w:val="007B4A20"/>
    <w:rsid w:val="007B755A"/>
    <w:rsid w:val="007C0476"/>
    <w:rsid w:val="007C159E"/>
    <w:rsid w:val="007C405A"/>
    <w:rsid w:val="007C6F73"/>
    <w:rsid w:val="007C7EA4"/>
    <w:rsid w:val="007D19B0"/>
    <w:rsid w:val="007D1E6B"/>
    <w:rsid w:val="007E0727"/>
    <w:rsid w:val="007F05A1"/>
    <w:rsid w:val="007F0ADC"/>
    <w:rsid w:val="007F1F5D"/>
    <w:rsid w:val="007F2361"/>
    <w:rsid w:val="007F2888"/>
    <w:rsid w:val="007F2F61"/>
    <w:rsid w:val="007F6600"/>
    <w:rsid w:val="0080012C"/>
    <w:rsid w:val="00801A1D"/>
    <w:rsid w:val="00801BDC"/>
    <w:rsid w:val="00805572"/>
    <w:rsid w:val="0080561A"/>
    <w:rsid w:val="00807EF6"/>
    <w:rsid w:val="008153BD"/>
    <w:rsid w:val="008154AB"/>
    <w:rsid w:val="00820E20"/>
    <w:rsid w:val="00821169"/>
    <w:rsid w:val="00823094"/>
    <w:rsid w:val="00823436"/>
    <w:rsid w:val="00830903"/>
    <w:rsid w:val="0083202D"/>
    <w:rsid w:val="0083207A"/>
    <w:rsid w:val="00833F96"/>
    <w:rsid w:val="00840822"/>
    <w:rsid w:val="00844C01"/>
    <w:rsid w:val="00852E35"/>
    <w:rsid w:val="008552EB"/>
    <w:rsid w:val="008568D1"/>
    <w:rsid w:val="00862002"/>
    <w:rsid w:val="00870737"/>
    <w:rsid w:val="00870C29"/>
    <w:rsid w:val="00871442"/>
    <w:rsid w:val="00873105"/>
    <w:rsid w:val="00873BFF"/>
    <w:rsid w:val="00874D1F"/>
    <w:rsid w:val="00886480"/>
    <w:rsid w:val="0088662E"/>
    <w:rsid w:val="00895F7F"/>
    <w:rsid w:val="008A1F03"/>
    <w:rsid w:val="008A2382"/>
    <w:rsid w:val="008C1B1F"/>
    <w:rsid w:val="008C2819"/>
    <w:rsid w:val="008C7034"/>
    <w:rsid w:val="008C70D6"/>
    <w:rsid w:val="008C73A4"/>
    <w:rsid w:val="008D0446"/>
    <w:rsid w:val="008D3032"/>
    <w:rsid w:val="008D4BA9"/>
    <w:rsid w:val="008D53EF"/>
    <w:rsid w:val="008D62E2"/>
    <w:rsid w:val="008D6A39"/>
    <w:rsid w:val="008E0C5F"/>
    <w:rsid w:val="008E2096"/>
    <w:rsid w:val="008E2BAF"/>
    <w:rsid w:val="008E503E"/>
    <w:rsid w:val="008E743A"/>
    <w:rsid w:val="008E758A"/>
    <w:rsid w:val="008E7B48"/>
    <w:rsid w:val="008F323E"/>
    <w:rsid w:val="008F4236"/>
    <w:rsid w:val="008F4B04"/>
    <w:rsid w:val="008F4EA8"/>
    <w:rsid w:val="008F5999"/>
    <w:rsid w:val="009005DC"/>
    <w:rsid w:val="00900805"/>
    <w:rsid w:val="009014F5"/>
    <w:rsid w:val="00903692"/>
    <w:rsid w:val="00903AFC"/>
    <w:rsid w:val="00904022"/>
    <w:rsid w:val="00905736"/>
    <w:rsid w:val="00905B95"/>
    <w:rsid w:val="00910A35"/>
    <w:rsid w:val="00916244"/>
    <w:rsid w:val="00917B18"/>
    <w:rsid w:val="00923FFA"/>
    <w:rsid w:val="0092720A"/>
    <w:rsid w:val="00927E4B"/>
    <w:rsid w:val="009365F0"/>
    <w:rsid w:val="00937674"/>
    <w:rsid w:val="00937CBE"/>
    <w:rsid w:val="00945981"/>
    <w:rsid w:val="009462B3"/>
    <w:rsid w:val="009568A8"/>
    <w:rsid w:val="009571CC"/>
    <w:rsid w:val="00957A89"/>
    <w:rsid w:val="00960C49"/>
    <w:rsid w:val="00967D97"/>
    <w:rsid w:val="00973D81"/>
    <w:rsid w:val="0097507A"/>
    <w:rsid w:val="00975ACE"/>
    <w:rsid w:val="0098379B"/>
    <w:rsid w:val="00986885"/>
    <w:rsid w:val="00991B0E"/>
    <w:rsid w:val="00996B1C"/>
    <w:rsid w:val="00996B54"/>
    <w:rsid w:val="00996E19"/>
    <w:rsid w:val="00997BEC"/>
    <w:rsid w:val="009A1AFC"/>
    <w:rsid w:val="009A34FD"/>
    <w:rsid w:val="009B1CAF"/>
    <w:rsid w:val="009B28B6"/>
    <w:rsid w:val="009B3A1D"/>
    <w:rsid w:val="009B527F"/>
    <w:rsid w:val="009B5EC2"/>
    <w:rsid w:val="009B7247"/>
    <w:rsid w:val="009C40A3"/>
    <w:rsid w:val="009D3279"/>
    <w:rsid w:val="009D3E7A"/>
    <w:rsid w:val="009E0C48"/>
    <w:rsid w:val="009E38B1"/>
    <w:rsid w:val="009E446D"/>
    <w:rsid w:val="009E4857"/>
    <w:rsid w:val="009E6DBA"/>
    <w:rsid w:val="009F2FA2"/>
    <w:rsid w:val="009F3A2F"/>
    <w:rsid w:val="009F42B6"/>
    <w:rsid w:val="009F64DF"/>
    <w:rsid w:val="009F6BA0"/>
    <w:rsid w:val="00A02AC4"/>
    <w:rsid w:val="00A0415A"/>
    <w:rsid w:val="00A07090"/>
    <w:rsid w:val="00A16231"/>
    <w:rsid w:val="00A21B79"/>
    <w:rsid w:val="00A23612"/>
    <w:rsid w:val="00A26D27"/>
    <w:rsid w:val="00A32AAA"/>
    <w:rsid w:val="00A3470E"/>
    <w:rsid w:val="00A35061"/>
    <w:rsid w:val="00A4012E"/>
    <w:rsid w:val="00A4285A"/>
    <w:rsid w:val="00A52572"/>
    <w:rsid w:val="00A52EE2"/>
    <w:rsid w:val="00A53651"/>
    <w:rsid w:val="00A53730"/>
    <w:rsid w:val="00A539BF"/>
    <w:rsid w:val="00A612B5"/>
    <w:rsid w:val="00A61C51"/>
    <w:rsid w:val="00A64C0F"/>
    <w:rsid w:val="00A705D6"/>
    <w:rsid w:val="00A717D2"/>
    <w:rsid w:val="00A7289A"/>
    <w:rsid w:val="00A74E39"/>
    <w:rsid w:val="00A84322"/>
    <w:rsid w:val="00A85345"/>
    <w:rsid w:val="00A9053F"/>
    <w:rsid w:val="00A964B9"/>
    <w:rsid w:val="00AA1DD5"/>
    <w:rsid w:val="00AA540B"/>
    <w:rsid w:val="00AB0DFC"/>
    <w:rsid w:val="00AB2335"/>
    <w:rsid w:val="00AB5F4C"/>
    <w:rsid w:val="00AB606D"/>
    <w:rsid w:val="00AC074A"/>
    <w:rsid w:val="00AC0FFE"/>
    <w:rsid w:val="00AC1F10"/>
    <w:rsid w:val="00AC6D59"/>
    <w:rsid w:val="00AD0A60"/>
    <w:rsid w:val="00AD1314"/>
    <w:rsid w:val="00AE2648"/>
    <w:rsid w:val="00AF028C"/>
    <w:rsid w:val="00AF29B4"/>
    <w:rsid w:val="00AF6A48"/>
    <w:rsid w:val="00B029EE"/>
    <w:rsid w:val="00B044CA"/>
    <w:rsid w:val="00B1066C"/>
    <w:rsid w:val="00B158B5"/>
    <w:rsid w:val="00B16EBB"/>
    <w:rsid w:val="00B2268F"/>
    <w:rsid w:val="00B23855"/>
    <w:rsid w:val="00B26830"/>
    <w:rsid w:val="00B43BDA"/>
    <w:rsid w:val="00B53D3E"/>
    <w:rsid w:val="00B71CB5"/>
    <w:rsid w:val="00B7424F"/>
    <w:rsid w:val="00B757D8"/>
    <w:rsid w:val="00B77E33"/>
    <w:rsid w:val="00B903F0"/>
    <w:rsid w:val="00BA0E14"/>
    <w:rsid w:val="00BA16FA"/>
    <w:rsid w:val="00BB350C"/>
    <w:rsid w:val="00BB3CCA"/>
    <w:rsid w:val="00BC2E1B"/>
    <w:rsid w:val="00BC4752"/>
    <w:rsid w:val="00BD19A0"/>
    <w:rsid w:val="00BD1DC8"/>
    <w:rsid w:val="00BD59D0"/>
    <w:rsid w:val="00BE39BA"/>
    <w:rsid w:val="00BE4C1D"/>
    <w:rsid w:val="00BE4CC9"/>
    <w:rsid w:val="00BE74D0"/>
    <w:rsid w:val="00BF0D85"/>
    <w:rsid w:val="00BF2551"/>
    <w:rsid w:val="00BF2634"/>
    <w:rsid w:val="00BF4BF5"/>
    <w:rsid w:val="00BF6C5C"/>
    <w:rsid w:val="00BF7A41"/>
    <w:rsid w:val="00C077E8"/>
    <w:rsid w:val="00C12D8C"/>
    <w:rsid w:val="00C12E0B"/>
    <w:rsid w:val="00C1581C"/>
    <w:rsid w:val="00C2007B"/>
    <w:rsid w:val="00C2362C"/>
    <w:rsid w:val="00C324EE"/>
    <w:rsid w:val="00C41CB6"/>
    <w:rsid w:val="00C43380"/>
    <w:rsid w:val="00C450A9"/>
    <w:rsid w:val="00C52CC1"/>
    <w:rsid w:val="00C61225"/>
    <w:rsid w:val="00C64C0B"/>
    <w:rsid w:val="00C66177"/>
    <w:rsid w:val="00C6646A"/>
    <w:rsid w:val="00C67ABC"/>
    <w:rsid w:val="00C7220E"/>
    <w:rsid w:val="00C76F29"/>
    <w:rsid w:val="00C82160"/>
    <w:rsid w:val="00C82C3F"/>
    <w:rsid w:val="00C84D52"/>
    <w:rsid w:val="00C84EE2"/>
    <w:rsid w:val="00C85257"/>
    <w:rsid w:val="00C8776E"/>
    <w:rsid w:val="00C9126F"/>
    <w:rsid w:val="00C92706"/>
    <w:rsid w:val="00C979B3"/>
    <w:rsid w:val="00CA0452"/>
    <w:rsid w:val="00CA2DF4"/>
    <w:rsid w:val="00CA561F"/>
    <w:rsid w:val="00CA5F4C"/>
    <w:rsid w:val="00CA6199"/>
    <w:rsid w:val="00CC434A"/>
    <w:rsid w:val="00CD0816"/>
    <w:rsid w:val="00CD1001"/>
    <w:rsid w:val="00CD5134"/>
    <w:rsid w:val="00CD5437"/>
    <w:rsid w:val="00CE311D"/>
    <w:rsid w:val="00CE7FEB"/>
    <w:rsid w:val="00CF0F36"/>
    <w:rsid w:val="00CF240D"/>
    <w:rsid w:val="00CF2B8B"/>
    <w:rsid w:val="00D02A7C"/>
    <w:rsid w:val="00D02B2D"/>
    <w:rsid w:val="00D0421E"/>
    <w:rsid w:val="00D062DB"/>
    <w:rsid w:val="00D25A78"/>
    <w:rsid w:val="00D40F8A"/>
    <w:rsid w:val="00D462AC"/>
    <w:rsid w:val="00D46327"/>
    <w:rsid w:val="00D46C19"/>
    <w:rsid w:val="00D514E2"/>
    <w:rsid w:val="00D52317"/>
    <w:rsid w:val="00D53BA6"/>
    <w:rsid w:val="00D56BEA"/>
    <w:rsid w:val="00D66CB5"/>
    <w:rsid w:val="00D72843"/>
    <w:rsid w:val="00D749F1"/>
    <w:rsid w:val="00D83E92"/>
    <w:rsid w:val="00D86FF2"/>
    <w:rsid w:val="00D925C3"/>
    <w:rsid w:val="00D956D9"/>
    <w:rsid w:val="00DA1B57"/>
    <w:rsid w:val="00DA1B94"/>
    <w:rsid w:val="00DA2360"/>
    <w:rsid w:val="00DA73F7"/>
    <w:rsid w:val="00DB03B9"/>
    <w:rsid w:val="00DC5508"/>
    <w:rsid w:val="00DC7C13"/>
    <w:rsid w:val="00DD0DF0"/>
    <w:rsid w:val="00DD115F"/>
    <w:rsid w:val="00DD3810"/>
    <w:rsid w:val="00DD4BE2"/>
    <w:rsid w:val="00DD4FFE"/>
    <w:rsid w:val="00DD62FB"/>
    <w:rsid w:val="00DF3729"/>
    <w:rsid w:val="00DF38C1"/>
    <w:rsid w:val="00E049D5"/>
    <w:rsid w:val="00E05621"/>
    <w:rsid w:val="00E06A24"/>
    <w:rsid w:val="00E07F3F"/>
    <w:rsid w:val="00E123EC"/>
    <w:rsid w:val="00E13BD2"/>
    <w:rsid w:val="00E17092"/>
    <w:rsid w:val="00E17638"/>
    <w:rsid w:val="00E2646A"/>
    <w:rsid w:val="00E27BF2"/>
    <w:rsid w:val="00E35EFB"/>
    <w:rsid w:val="00E413E4"/>
    <w:rsid w:val="00E41684"/>
    <w:rsid w:val="00E422A7"/>
    <w:rsid w:val="00E44271"/>
    <w:rsid w:val="00E46EC8"/>
    <w:rsid w:val="00E504E8"/>
    <w:rsid w:val="00E50D7A"/>
    <w:rsid w:val="00E52742"/>
    <w:rsid w:val="00E6227A"/>
    <w:rsid w:val="00E679E5"/>
    <w:rsid w:val="00E7290D"/>
    <w:rsid w:val="00E73A7C"/>
    <w:rsid w:val="00E7664F"/>
    <w:rsid w:val="00E7666C"/>
    <w:rsid w:val="00E824FB"/>
    <w:rsid w:val="00E8268E"/>
    <w:rsid w:val="00E8350C"/>
    <w:rsid w:val="00E84D3A"/>
    <w:rsid w:val="00E856A7"/>
    <w:rsid w:val="00EA27B6"/>
    <w:rsid w:val="00EA2B9D"/>
    <w:rsid w:val="00EA3B25"/>
    <w:rsid w:val="00EA4A88"/>
    <w:rsid w:val="00EA4F52"/>
    <w:rsid w:val="00EB6410"/>
    <w:rsid w:val="00EC01CB"/>
    <w:rsid w:val="00EC0720"/>
    <w:rsid w:val="00EC1294"/>
    <w:rsid w:val="00EC44A1"/>
    <w:rsid w:val="00EC4C03"/>
    <w:rsid w:val="00EC4C1A"/>
    <w:rsid w:val="00EC4C54"/>
    <w:rsid w:val="00ED034B"/>
    <w:rsid w:val="00ED3F33"/>
    <w:rsid w:val="00EE5A6E"/>
    <w:rsid w:val="00EE739E"/>
    <w:rsid w:val="00EF06DD"/>
    <w:rsid w:val="00EF1043"/>
    <w:rsid w:val="00EF7C5E"/>
    <w:rsid w:val="00F03425"/>
    <w:rsid w:val="00F03527"/>
    <w:rsid w:val="00F077FC"/>
    <w:rsid w:val="00F10CB2"/>
    <w:rsid w:val="00F1292E"/>
    <w:rsid w:val="00F22A8E"/>
    <w:rsid w:val="00F2449C"/>
    <w:rsid w:val="00F24DD4"/>
    <w:rsid w:val="00F30783"/>
    <w:rsid w:val="00F307C1"/>
    <w:rsid w:val="00F30DEE"/>
    <w:rsid w:val="00F33DC7"/>
    <w:rsid w:val="00F366CB"/>
    <w:rsid w:val="00F4270E"/>
    <w:rsid w:val="00F47657"/>
    <w:rsid w:val="00F47CC1"/>
    <w:rsid w:val="00F516A5"/>
    <w:rsid w:val="00F54E4B"/>
    <w:rsid w:val="00F56ED3"/>
    <w:rsid w:val="00F617C7"/>
    <w:rsid w:val="00F61BC8"/>
    <w:rsid w:val="00F62256"/>
    <w:rsid w:val="00F746C9"/>
    <w:rsid w:val="00F8245D"/>
    <w:rsid w:val="00F852B4"/>
    <w:rsid w:val="00F86645"/>
    <w:rsid w:val="00F87BB3"/>
    <w:rsid w:val="00F87CD0"/>
    <w:rsid w:val="00F909AD"/>
    <w:rsid w:val="00F90CF8"/>
    <w:rsid w:val="00F914BF"/>
    <w:rsid w:val="00F94466"/>
    <w:rsid w:val="00FA042A"/>
    <w:rsid w:val="00FA21A3"/>
    <w:rsid w:val="00FA30C9"/>
    <w:rsid w:val="00FB12BE"/>
    <w:rsid w:val="00FB1B4B"/>
    <w:rsid w:val="00FC21A7"/>
    <w:rsid w:val="00FC2300"/>
    <w:rsid w:val="00FC4550"/>
    <w:rsid w:val="00FC4945"/>
    <w:rsid w:val="00FD06E1"/>
    <w:rsid w:val="00FD11F1"/>
    <w:rsid w:val="00FD1677"/>
    <w:rsid w:val="00FD4866"/>
    <w:rsid w:val="00FD54C3"/>
    <w:rsid w:val="00FD655A"/>
    <w:rsid w:val="00FE3448"/>
    <w:rsid w:val="00FE59F0"/>
    <w:rsid w:val="00FE7CEF"/>
    <w:rsid w:val="00FF1FBB"/>
    <w:rsid w:val="00FF61F7"/>
    <w:rsid w:val="00FF6685"/>
    <w:rsid w:val="00FF7A82"/>
    <w:rsid w:val="02FD3CA1"/>
    <w:rsid w:val="071D7432"/>
    <w:rsid w:val="090A0FB5"/>
    <w:rsid w:val="0A1D4504"/>
    <w:rsid w:val="2B3A1C75"/>
    <w:rsid w:val="2C9F4B79"/>
    <w:rsid w:val="31C87CA2"/>
    <w:rsid w:val="354E53C9"/>
    <w:rsid w:val="46977952"/>
    <w:rsid w:val="4F3B240C"/>
    <w:rsid w:val="4F44236E"/>
    <w:rsid w:val="528671EA"/>
    <w:rsid w:val="5555648E"/>
    <w:rsid w:val="5FAD75E5"/>
    <w:rsid w:val="663527BF"/>
    <w:rsid w:val="69936104"/>
    <w:rsid w:val="6D3E72ED"/>
    <w:rsid w:val="731F5996"/>
    <w:rsid w:val="78CB5D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qFormat="1" w:unhideWhenUsed="0" w:uiPriority="0"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next w:val="1"/>
    <w:link w:val="35"/>
    <w:qFormat/>
    <w:uiPriority w:val="0"/>
    <w:pPr>
      <w:keepNext/>
      <w:keepLines/>
      <w:spacing w:before="260" w:after="260" w:line="413" w:lineRule="auto"/>
      <w:outlineLvl w:val="1"/>
    </w:pPr>
    <w:rPr>
      <w:rFonts w:ascii="Arial" w:hAnsi="Arial" w:eastAsia="黑体" w:cs="Times New Roman"/>
      <w:b/>
      <w:bCs/>
      <w:kern w:val="2"/>
      <w:sz w:val="32"/>
      <w:szCs w:val="32"/>
      <w:lang w:val="en-US" w:eastAsia="zh-CN" w:bidi="ar-SA"/>
    </w:rPr>
  </w:style>
  <w:style w:type="paragraph" w:styleId="4">
    <w:name w:val="heading 3"/>
    <w:basedOn w:val="1"/>
    <w:next w:val="1"/>
    <w:link w:val="34"/>
    <w:qFormat/>
    <w:uiPriority w:val="0"/>
    <w:pPr>
      <w:keepNext/>
      <w:keepLines/>
      <w:spacing w:before="60" w:after="60" w:line="360" w:lineRule="auto"/>
      <w:outlineLvl w:val="2"/>
    </w:pPr>
    <w:rPr>
      <w:b/>
      <w:bCs/>
      <w:szCs w:val="32"/>
    </w:rPr>
  </w:style>
  <w:style w:type="character" w:default="1" w:styleId="27">
    <w:name w:val="Default Paragraph Font"/>
    <w:unhideWhenUsed/>
    <w:qFormat/>
    <w:uiPriority w:val="1"/>
  </w:style>
  <w:style w:type="table" w:default="1" w:styleId="25">
    <w:name w:val="Normal Table"/>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Document Map"/>
    <w:basedOn w:val="1"/>
    <w:link w:val="50"/>
    <w:qFormat/>
    <w:uiPriority w:val="0"/>
    <w:rPr>
      <w:rFonts w:ascii="Lucida Grande" w:hAnsi="Lucida Grande"/>
      <w:sz w:val="24"/>
      <w:szCs w:val="24"/>
    </w:rPr>
  </w:style>
  <w:style w:type="paragraph" w:styleId="7">
    <w:name w:val="annotation text"/>
    <w:basedOn w:val="1"/>
    <w:link w:val="47"/>
    <w:qFormat/>
    <w:uiPriority w:val="0"/>
    <w:pPr>
      <w:jc w:val="left"/>
    </w:pPr>
    <w:rPr>
      <w:szCs w:val="24"/>
    </w:rPr>
  </w:style>
  <w:style w:type="paragraph" w:styleId="8">
    <w:name w:val="Body Text Indent"/>
    <w:basedOn w:val="1"/>
    <w:link w:val="72"/>
    <w:unhideWhenUsed/>
    <w:qFormat/>
    <w:uiPriority w:val="99"/>
    <w:pPr>
      <w:spacing w:after="120"/>
      <w:ind w:left="420" w:leftChars="200"/>
    </w:pPr>
  </w:style>
  <w:style w:type="paragraph" w:styleId="9">
    <w:name w:val="toc 5"/>
    <w:basedOn w:val="1"/>
    <w:next w:val="1"/>
    <w:qFormat/>
    <w:uiPriority w:val="0"/>
    <w:pPr>
      <w:ind w:left="1680" w:leftChars="800"/>
    </w:pPr>
  </w:style>
  <w:style w:type="paragraph" w:styleId="10">
    <w:name w:val="toc 3"/>
    <w:basedOn w:val="1"/>
    <w:next w:val="1"/>
    <w:qFormat/>
    <w:uiPriority w:val="39"/>
    <w:pPr>
      <w:ind w:left="840" w:leftChars="400"/>
    </w:pPr>
  </w:style>
  <w:style w:type="paragraph" w:styleId="11">
    <w:name w:val="Plain Text"/>
    <w:basedOn w:val="1"/>
    <w:link w:val="37"/>
    <w:qFormat/>
    <w:uiPriority w:val="0"/>
    <w:rPr>
      <w:rFonts w:ascii="宋体" w:hAnsi="Courier New" w:eastAsia="宋体"/>
      <w:sz w:val="21"/>
    </w:rPr>
  </w:style>
  <w:style w:type="paragraph" w:styleId="12">
    <w:name w:val="toc 8"/>
    <w:basedOn w:val="1"/>
    <w:next w:val="1"/>
    <w:qFormat/>
    <w:uiPriority w:val="0"/>
    <w:pPr>
      <w:ind w:left="2940" w:leftChars="1400"/>
    </w:pPr>
  </w:style>
  <w:style w:type="paragraph" w:styleId="13">
    <w:name w:val="Balloon Text"/>
    <w:basedOn w:val="1"/>
    <w:link w:val="44"/>
    <w:qFormat/>
    <w:uiPriority w:val="0"/>
    <w:rPr>
      <w:sz w:val="18"/>
      <w:szCs w:val="18"/>
    </w:rPr>
  </w:style>
  <w:style w:type="paragraph" w:styleId="14">
    <w:name w:val="footer"/>
    <w:basedOn w:val="1"/>
    <w:link w:val="42"/>
    <w:qFormat/>
    <w:uiPriority w:val="0"/>
    <w:pPr>
      <w:tabs>
        <w:tab w:val="center" w:pos="4153"/>
        <w:tab w:val="right" w:pos="8306"/>
      </w:tabs>
      <w:snapToGrid w:val="0"/>
      <w:jc w:val="left"/>
    </w:pPr>
    <w:rPr>
      <w:sz w:val="18"/>
    </w:rPr>
  </w:style>
  <w:style w:type="paragraph" w:styleId="15">
    <w:name w:val="header"/>
    <w:basedOn w:val="1"/>
    <w:link w:val="3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next w:val="1"/>
    <w:qFormat/>
    <w:uiPriority w:val="39"/>
    <w:rPr>
      <w:rFonts w:ascii="Times New Roman" w:hAnsi="Times New Roman" w:eastAsia="宋体" w:cs="Times New Roman"/>
      <w:lang w:val="en-US" w:eastAsia="zh-CN" w:bidi="ar-SA"/>
    </w:rPr>
  </w:style>
  <w:style w:type="paragraph" w:styleId="17">
    <w:name w:val="toc 4"/>
    <w:basedOn w:val="1"/>
    <w:next w:val="1"/>
    <w:qFormat/>
    <w:uiPriority w:val="0"/>
    <w:pPr>
      <w:ind w:left="1260" w:leftChars="600"/>
    </w:pPr>
  </w:style>
  <w:style w:type="paragraph" w:styleId="18">
    <w:name w:val="Subtitle"/>
    <w:basedOn w:val="1"/>
    <w:next w:val="1"/>
    <w:qFormat/>
    <w:uiPriority w:val="0"/>
    <w:pPr>
      <w:spacing w:before="240" w:after="60" w:line="312" w:lineRule="auto"/>
      <w:jc w:val="center"/>
      <w:outlineLvl w:val="1"/>
    </w:pPr>
    <w:rPr>
      <w:b/>
      <w:bCs/>
      <w:kern w:val="28"/>
      <w:szCs w:val="32"/>
    </w:rPr>
  </w:style>
  <w:style w:type="paragraph" w:styleId="19">
    <w:name w:val="toc 6"/>
    <w:basedOn w:val="1"/>
    <w:next w:val="1"/>
    <w:qFormat/>
    <w:uiPriority w:val="0"/>
    <w:pPr>
      <w:ind w:left="2100" w:leftChars="1000"/>
    </w:pPr>
  </w:style>
  <w:style w:type="paragraph" w:styleId="20">
    <w:name w:val="toc 2"/>
    <w:next w:val="1"/>
    <w:qFormat/>
    <w:uiPriority w:val="39"/>
    <w:pPr>
      <w:ind w:left="420" w:leftChars="200"/>
    </w:pPr>
    <w:rPr>
      <w:rFonts w:ascii="Times New Roman" w:hAnsi="Times New Roman" w:eastAsia="仿宋_GB2312" w:cs="Times New Roman"/>
      <w:lang w:val="en-US" w:eastAsia="zh-CN" w:bidi="ar-SA"/>
    </w:rPr>
  </w:style>
  <w:style w:type="paragraph" w:styleId="21">
    <w:name w:val="toc 9"/>
    <w:basedOn w:val="1"/>
    <w:next w:val="1"/>
    <w:qFormat/>
    <w:uiPriority w:val="0"/>
    <w:pPr>
      <w:ind w:left="3360" w:leftChars="1600"/>
    </w:pPr>
  </w:style>
  <w:style w:type="paragraph" w:styleId="22">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paragraph" w:styleId="23">
    <w:name w:val="annotation subject"/>
    <w:basedOn w:val="7"/>
    <w:next w:val="7"/>
    <w:link w:val="33"/>
    <w:qFormat/>
    <w:uiPriority w:val="0"/>
    <w:rPr>
      <w:b/>
      <w:bCs/>
    </w:rPr>
  </w:style>
  <w:style w:type="paragraph" w:styleId="24">
    <w:name w:val="Body Text First Indent 2"/>
    <w:link w:val="73"/>
    <w:qFormat/>
    <w:uiPriority w:val="0"/>
    <w:pPr>
      <w:adjustRightInd w:val="0"/>
      <w:snapToGrid w:val="0"/>
      <w:spacing w:line="360" w:lineRule="auto"/>
      <w:ind w:firstLine="200" w:firstLineChars="200"/>
      <w:jc w:val="both"/>
    </w:pPr>
    <w:rPr>
      <w:rFonts w:ascii="Times New Roman" w:hAnsi="Times New Roman" w:eastAsia="宋体" w:cstheme="minorBidi"/>
      <w:kern w:val="2"/>
      <w:sz w:val="24"/>
      <w:szCs w:val="21"/>
      <w:lang w:val="en-US" w:eastAsia="zh-CN" w:bidi="ar-SA"/>
    </w:rPr>
  </w:style>
  <w:style w:type="table" w:styleId="26">
    <w:name w:val="Colorful Shading Accent 1"/>
    <w:qFormat/>
    <w:uiPriority w:val="0"/>
    <w:rPr>
      <w:rFonts w:eastAsia="仿宋_GB2312"/>
      <w:kern w:val="2"/>
      <w:sz w:val="21"/>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CellMar>
        <w:top w:w="0" w:type="dxa"/>
        <w:left w:w="0" w:type="dxa"/>
        <w:bottom w:w="0" w:type="dxa"/>
        <w:right w:w="0" w:type="dxa"/>
      </w:tblCellMar>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styleId="28">
    <w:name w:val="Strong"/>
    <w:qFormat/>
    <w:uiPriority w:val="0"/>
    <w:rPr>
      <w:b/>
      <w:bCs/>
    </w:rPr>
  </w:style>
  <w:style w:type="character" w:styleId="29">
    <w:name w:val="page number"/>
    <w:basedOn w:val="27"/>
    <w:qFormat/>
    <w:uiPriority w:val="0"/>
  </w:style>
  <w:style w:type="character" w:styleId="30">
    <w:name w:val="Emphasis"/>
    <w:basedOn w:val="27"/>
    <w:qFormat/>
    <w:uiPriority w:val="20"/>
    <w:rPr>
      <w:i/>
      <w:iCs/>
    </w:rPr>
  </w:style>
  <w:style w:type="character" w:styleId="31">
    <w:name w:val="Hyperlink"/>
    <w:qFormat/>
    <w:uiPriority w:val="99"/>
    <w:rPr>
      <w:color w:val="0000FF"/>
      <w:u w:val="single"/>
    </w:rPr>
  </w:style>
  <w:style w:type="character" w:styleId="32">
    <w:name w:val="annotation reference"/>
    <w:qFormat/>
    <w:uiPriority w:val="0"/>
    <w:rPr>
      <w:sz w:val="21"/>
      <w:szCs w:val="21"/>
    </w:rPr>
  </w:style>
  <w:style w:type="character" w:customStyle="1" w:styleId="33">
    <w:name w:val="批注主题 Char"/>
    <w:link w:val="23"/>
    <w:qFormat/>
    <w:uiPriority w:val="0"/>
    <w:rPr>
      <w:rFonts w:eastAsia="仿宋_GB2312"/>
      <w:b/>
      <w:bCs/>
      <w:kern w:val="2"/>
      <w:sz w:val="32"/>
      <w:szCs w:val="24"/>
    </w:rPr>
  </w:style>
  <w:style w:type="character" w:customStyle="1" w:styleId="34">
    <w:name w:val="标题 3 Char"/>
    <w:link w:val="4"/>
    <w:qFormat/>
    <w:uiPriority w:val="0"/>
    <w:rPr>
      <w:rFonts w:eastAsia="仿宋_GB2312"/>
      <w:b/>
      <w:bCs/>
      <w:kern w:val="2"/>
      <w:sz w:val="32"/>
      <w:szCs w:val="32"/>
    </w:rPr>
  </w:style>
  <w:style w:type="character" w:customStyle="1" w:styleId="35">
    <w:name w:val="标题 2 Char"/>
    <w:link w:val="3"/>
    <w:qFormat/>
    <w:uiPriority w:val="0"/>
    <w:rPr>
      <w:rFonts w:ascii="Arial" w:hAnsi="Arial" w:eastAsia="黑体"/>
      <w:b/>
      <w:bCs/>
      <w:kern w:val="2"/>
      <w:sz w:val="32"/>
      <w:szCs w:val="32"/>
      <w:lang w:bidi="ar-SA"/>
    </w:rPr>
  </w:style>
  <w:style w:type="character" w:customStyle="1" w:styleId="36">
    <w:name w:val="标题 1 Char"/>
    <w:link w:val="2"/>
    <w:qFormat/>
    <w:uiPriority w:val="0"/>
    <w:rPr>
      <w:rFonts w:eastAsia="仿宋_GB2312"/>
      <w:b/>
      <w:bCs/>
      <w:kern w:val="44"/>
      <w:sz w:val="44"/>
      <w:szCs w:val="44"/>
    </w:rPr>
  </w:style>
  <w:style w:type="character" w:customStyle="1" w:styleId="37">
    <w:name w:val="纯文本 Char"/>
    <w:link w:val="11"/>
    <w:qFormat/>
    <w:uiPriority w:val="0"/>
    <w:rPr>
      <w:rFonts w:ascii="宋体" w:hAnsi="Courier New"/>
      <w:kern w:val="2"/>
      <w:sz w:val="21"/>
    </w:rPr>
  </w:style>
  <w:style w:type="character" w:customStyle="1" w:styleId="38">
    <w:name w:val="页眉 Char"/>
    <w:link w:val="15"/>
    <w:qFormat/>
    <w:uiPriority w:val="0"/>
    <w:rPr>
      <w:rFonts w:eastAsia="仿宋_GB2312"/>
      <w:kern w:val="2"/>
      <w:sz w:val="18"/>
    </w:rPr>
  </w:style>
  <w:style w:type="character" w:customStyle="1" w:styleId="39">
    <w:name w:val="批注主题 Char1"/>
    <w:qFormat/>
    <w:uiPriority w:val="0"/>
    <w:rPr>
      <w:rFonts w:eastAsia="仿宋_GB2312"/>
      <w:b/>
      <w:bCs/>
      <w:kern w:val="2"/>
      <w:sz w:val="21"/>
      <w:szCs w:val="24"/>
    </w:rPr>
  </w:style>
  <w:style w:type="character" w:customStyle="1" w:styleId="40">
    <w:name w:val="标准文字 Char Char"/>
    <w:link w:val="41"/>
    <w:qFormat/>
    <w:uiPriority w:val="0"/>
    <w:rPr>
      <w:rFonts w:eastAsia="仿宋_GB2312"/>
      <w:sz w:val="30"/>
      <w:szCs w:val="30"/>
    </w:rPr>
  </w:style>
  <w:style w:type="paragraph" w:customStyle="1" w:styleId="41">
    <w:name w:val="标准文字"/>
    <w:basedOn w:val="1"/>
    <w:link w:val="40"/>
    <w:qFormat/>
    <w:uiPriority w:val="0"/>
    <w:pPr>
      <w:spacing w:line="360" w:lineRule="auto"/>
      <w:ind w:firstLine="600" w:firstLineChars="200"/>
    </w:pPr>
    <w:rPr>
      <w:kern w:val="0"/>
      <w:sz w:val="30"/>
      <w:szCs w:val="30"/>
    </w:rPr>
  </w:style>
  <w:style w:type="character" w:customStyle="1" w:styleId="42">
    <w:name w:val="页脚 Char"/>
    <w:link w:val="14"/>
    <w:qFormat/>
    <w:uiPriority w:val="0"/>
    <w:rPr>
      <w:rFonts w:eastAsia="仿宋_GB2312"/>
      <w:kern w:val="2"/>
      <w:sz w:val="18"/>
    </w:rPr>
  </w:style>
  <w:style w:type="character" w:customStyle="1" w:styleId="43">
    <w:name w:val="Char Char4"/>
    <w:qFormat/>
    <w:uiPriority w:val="0"/>
    <w:rPr>
      <w:rFonts w:ascii="Times New Roman" w:hAnsi="Times New Roman" w:eastAsia="仿宋_GB2312"/>
      <w:b/>
      <w:bCs/>
      <w:kern w:val="44"/>
      <w:sz w:val="44"/>
      <w:szCs w:val="44"/>
    </w:rPr>
  </w:style>
  <w:style w:type="character" w:customStyle="1" w:styleId="44">
    <w:name w:val="批注框文本 Char"/>
    <w:link w:val="13"/>
    <w:qFormat/>
    <w:uiPriority w:val="0"/>
    <w:rPr>
      <w:rFonts w:eastAsia="仿宋_GB2312"/>
      <w:kern w:val="2"/>
      <w:sz w:val="18"/>
      <w:szCs w:val="18"/>
    </w:rPr>
  </w:style>
  <w:style w:type="character" w:customStyle="1" w:styleId="45">
    <w:name w:val="标题1"/>
    <w:qFormat/>
    <w:uiPriority w:val="0"/>
  </w:style>
  <w:style w:type="character" w:customStyle="1" w:styleId="46">
    <w:name w:val="注释文本字符1"/>
    <w:qFormat/>
    <w:uiPriority w:val="0"/>
    <w:rPr>
      <w:rFonts w:eastAsia="仿宋_GB2312"/>
      <w:kern w:val="2"/>
      <w:sz w:val="32"/>
      <w:szCs w:val="24"/>
    </w:rPr>
  </w:style>
  <w:style w:type="character" w:customStyle="1" w:styleId="47">
    <w:name w:val="批注文字 Char"/>
    <w:link w:val="7"/>
    <w:qFormat/>
    <w:uiPriority w:val="0"/>
    <w:rPr>
      <w:rFonts w:eastAsia="仿宋_GB2312"/>
      <w:kern w:val="2"/>
      <w:sz w:val="32"/>
      <w:szCs w:val="24"/>
    </w:rPr>
  </w:style>
  <w:style w:type="character" w:customStyle="1" w:styleId="48">
    <w:name w:val="页码1"/>
    <w:basedOn w:val="27"/>
    <w:qFormat/>
    <w:uiPriority w:val="0"/>
  </w:style>
  <w:style w:type="character" w:customStyle="1" w:styleId="49">
    <w:name w:val="文档结构图 Char1"/>
    <w:qFormat/>
    <w:uiPriority w:val="0"/>
    <w:rPr>
      <w:rFonts w:ascii="宋体"/>
      <w:kern w:val="2"/>
      <w:sz w:val="18"/>
      <w:szCs w:val="18"/>
    </w:rPr>
  </w:style>
  <w:style w:type="character" w:customStyle="1" w:styleId="50">
    <w:name w:val="文档结构图 Char"/>
    <w:link w:val="6"/>
    <w:qFormat/>
    <w:uiPriority w:val="0"/>
    <w:rPr>
      <w:rFonts w:ascii="Lucida Grande" w:hAnsi="Lucida Grande" w:eastAsia="仿宋_GB2312" w:cs="Lucida Grande"/>
      <w:kern w:val="2"/>
      <w:sz w:val="24"/>
      <w:szCs w:val="24"/>
    </w:rPr>
  </w:style>
  <w:style w:type="paragraph" w:customStyle="1" w:styleId="51">
    <w:name w:val="p0"/>
    <w:basedOn w:val="1"/>
    <w:qFormat/>
    <w:uiPriority w:val="0"/>
    <w:pPr>
      <w:widowControl/>
    </w:pPr>
    <w:rPr>
      <w:kern w:val="0"/>
      <w:szCs w:val="32"/>
    </w:rPr>
  </w:style>
  <w:style w:type="paragraph" w:customStyle="1" w:styleId="52">
    <w:name w:val="Char Char2 Char Char Char Char"/>
    <w:basedOn w:val="1"/>
    <w:qFormat/>
    <w:uiPriority w:val="0"/>
    <w:rPr>
      <w:rFonts w:eastAsia="宋体"/>
    </w:rPr>
  </w:style>
  <w:style w:type="paragraph" w:customStyle="1" w:styleId="53">
    <w:name w:val="彩色列表 - 强调文字颜色 11"/>
    <w:basedOn w:val="1"/>
    <w:qFormat/>
    <w:uiPriority w:val="0"/>
    <w:pPr>
      <w:ind w:firstLine="420" w:firstLineChars="200"/>
    </w:pPr>
  </w:style>
  <w:style w:type="paragraph" w:customStyle="1" w:styleId="54">
    <w:name w:val="Char Char2 Char Char Char Char Char Char Char Char"/>
    <w:basedOn w:val="1"/>
    <w:qFormat/>
    <w:uiPriority w:val="0"/>
    <w:rPr>
      <w:rFonts w:eastAsia="宋体"/>
    </w:rPr>
  </w:style>
  <w:style w:type="paragraph" w:customStyle="1" w:styleId="55">
    <w:name w:val="列出段落1"/>
    <w:basedOn w:val="1"/>
    <w:qFormat/>
    <w:uiPriority w:val="34"/>
    <w:pPr>
      <w:widowControl/>
      <w:ind w:firstLine="420" w:firstLineChars="200"/>
      <w:jc w:val="left"/>
    </w:pPr>
    <w:rPr>
      <w:rFonts w:ascii="宋体" w:hAnsi="宋体" w:eastAsia="宋体" w:cs="宋体"/>
      <w:kern w:val="0"/>
      <w:sz w:val="24"/>
      <w:szCs w:val="24"/>
    </w:rPr>
  </w:style>
  <w:style w:type="paragraph" w:customStyle="1" w:styleId="56">
    <w:name w:val="Char Char2 Char Char"/>
    <w:basedOn w:val="1"/>
    <w:qFormat/>
    <w:uiPriority w:val="0"/>
    <w:rPr>
      <w:rFonts w:eastAsia="宋体"/>
      <w:szCs w:val="24"/>
    </w:rPr>
  </w:style>
  <w:style w:type="paragraph" w:customStyle="1" w:styleId="57">
    <w:name w:val="Char"/>
    <w:basedOn w:val="1"/>
    <w:qFormat/>
    <w:uiPriority w:val="0"/>
    <w:rPr>
      <w:rFonts w:eastAsia="宋体"/>
    </w:rPr>
  </w:style>
  <w:style w:type="paragraph" w:customStyle="1" w:styleId="58">
    <w:name w:val="彩色列表 - 强调文字颜色 12"/>
    <w:basedOn w:val="1"/>
    <w:qFormat/>
    <w:uiPriority w:val="0"/>
    <w:pPr>
      <w:ind w:firstLine="420" w:firstLineChars="200"/>
    </w:pPr>
  </w:style>
  <w:style w:type="paragraph" w:customStyle="1" w:styleId="59">
    <w:name w:val="Char1"/>
    <w:basedOn w:val="2"/>
    <w:qFormat/>
    <w:uiPriority w:val="0"/>
    <w:pPr>
      <w:snapToGrid w:val="0"/>
      <w:spacing w:before="240" w:after="240" w:line="348" w:lineRule="auto"/>
    </w:pPr>
  </w:style>
  <w:style w:type="paragraph" w:customStyle="1" w:styleId="60">
    <w:name w:val="Char Char2 Char Char Char Char Char Char"/>
    <w:basedOn w:val="1"/>
    <w:qFormat/>
    <w:uiPriority w:val="0"/>
    <w:rPr>
      <w:rFonts w:eastAsia="宋体"/>
    </w:rPr>
  </w:style>
  <w:style w:type="paragraph" w:customStyle="1" w:styleId="61">
    <w:name w:val="默认段落字体 Para Char Char Char Char Char Char Char"/>
    <w:basedOn w:val="1"/>
    <w:qFormat/>
    <w:uiPriority w:val="0"/>
    <w:pPr>
      <w:numPr>
        <w:ilvl w:val="0"/>
        <w:numId w:val="1"/>
      </w:numPr>
      <w:tabs>
        <w:tab w:val="left" w:pos="432"/>
      </w:tabs>
    </w:pPr>
    <w:rPr>
      <w:rFonts w:ascii="Tahoma" w:hAnsi="Tahoma" w:eastAsia="宋体"/>
      <w:sz w:val="24"/>
    </w:rPr>
  </w:style>
  <w:style w:type="paragraph" w:customStyle="1" w:styleId="62">
    <w:name w:val="Char Char Char Char"/>
    <w:basedOn w:val="1"/>
    <w:qFormat/>
    <w:uiPriority w:val="0"/>
    <w:pPr>
      <w:tabs>
        <w:tab w:val="left" w:pos="425"/>
      </w:tabs>
      <w:ind w:left="425" w:hanging="425"/>
    </w:pPr>
    <w:rPr>
      <w:kern w:val="24"/>
      <w:sz w:val="24"/>
      <w:szCs w:val="24"/>
    </w:rPr>
  </w:style>
  <w:style w:type="paragraph" w:customStyle="1" w:styleId="63">
    <w:name w:val="_Style 9"/>
    <w:basedOn w:val="2"/>
    <w:qFormat/>
    <w:uiPriority w:val="0"/>
    <w:pPr>
      <w:snapToGrid w:val="0"/>
      <w:spacing w:before="240" w:after="240" w:line="348" w:lineRule="auto"/>
    </w:pPr>
  </w:style>
  <w:style w:type="paragraph" w:customStyle="1" w:styleId="64">
    <w:name w:val="列出段落11"/>
    <w:basedOn w:val="1"/>
    <w:qFormat/>
    <w:uiPriority w:val="0"/>
    <w:pPr>
      <w:ind w:firstLine="420" w:firstLineChars="200"/>
    </w:pPr>
    <w:rPr>
      <w:rFonts w:ascii="Calibri" w:hAnsi="Calibri" w:eastAsia="宋体"/>
      <w:sz w:val="21"/>
      <w:szCs w:val="22"/>
    </w:rPr>
  </w:style>
  <w:style w:type="paragraph" w:customStyle="1" w:styleId="65">
    <w:name w:val="彩色底纹1"/>
    <w:qFormat/>
    <w:uiPriority w:val="0"/>
    <w:rPr>
      <w:rFonts w:ascii="Times New Roman" w:hAnsi="Times New Roman" w:eastAsia="仿宋_GB2312" w:cs="Times New Roman"/>
      <w:kern w:val="2"/>
      <w:sz w:val="32"/>
      <w:lang w:val="en-US" w:eastAsia="zh-CN" w:bidi="ar-SA"/>
    </w:rPr>
  </w:style>
  <w:style w:type="paragraph" w:customStyle="1" w:styleId="66">
    <w:name w:val="中等深浅网格 1 - 强调文字颜色 21"/>
    <w:basedOn w:val="1"/>
    <w:qFormat/>
    <w:uiPriority w:val="0"/>
    <w:pPr>
      <w:ind w:firstLine="420" w:firstLineChars="200"/>
    </w:pPr>
  </w:style>
  <w:style w:type="paragraph" w:customStyle="1" w:styleId="67">
    <w:name w:val="Char Char4 Char Char Char Char"/>
    <w:basedOn w:val="2"/>
    <w:qFormat/>
    <w:uiPriority w:val="0"/>
    <w:pPr>
      <w:snapToGrid w:val="0"/>
      <w:spacing w:before="240" w:after="240" w:line="348" w:lineRule="auto"/>
    </w:pPr>
    <w:rPr>
      <w:rFonts w:ascii="Tahoma" w:hAnsi="Tahoma" w:eastAsia="黑体"/>
      <w:b w:val="0"/>
      <w:bCs w:val="0"/>
      <w:kern w:val="2"/>
      <w:sz w:val="36"/>
      <w:szCs w:val="20"/>
    </w:rPr>
  </w:style>
  <w:style w:type="paragraph" w:customStyle="1" w:styleId="68">
    <w:name w:val="Char Char Char Char Char Char1 Char Char Char"/>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69">
    <w:name w:val="S-正文"/>
    <w:basedOn w:val="1"/>
    <w:qFormat/>
    <w:uiPriority w:val="0"/>
    <w:rPr>
      <w:rFonts w:ascii="Calibri" w:hAnsi="Calibri"/>
      <w:sz w:val="28"/>
    </w:rPr>
  </w:style>
  <w:style w:type="paragraph" w:customStyle="1" w:styleId="70">
    <w:name w:val="Char Char4 Char Char"/>
    <w:basedOn w:val="1"/>
    <w:semiHidden/>
    <w:qFormat/>
    <w:uiPriority w:val="0"/>
    <w:pPr>
      <w:widowControl/>
      <w:spacing w:line="360" w:lineRule="auto"/>
      <w:jc w:val="left"/>
    </w:pPr>
    <w:rPr>
      <w:rFonts w:eastAsia="宋体"/>
      <w:sz w:val="21"/>
      <w:szCs w:val="24"/>
    </w:rPr>
  </w:style>
  <w:style w:type="paragraph" w:customStyle="1" w:styleId="7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72">
    <w:name w:val="正文文本缩进 Char"/>
    <w:basedOn w:val="27"/>
    <w:link w:val="8"/>
    <w:semiHidden/>
    <w:qFormat/>
    <w:uiPriority w:val="99"/>
    <w:rPr>
      <w:rFonts w:eastAsia="仿宋_GB2312"/>
      <w:kern w:val="2"/>
      <w:sz w:val="32"/>
    </w:rPr>
  </w:style>
  <w:style w:type="character" w:customStyle="1" w:styleId="73">
    <w:name w:val="正文首行缩进 2 Char"/>
    <w:basedOn w:val="72"/>
    <w:link w:val="24"/>
    <w:qFormat/>
    <w:uiPriority w:val="0"/>
    <w:rPr>
      <w:rFonts w:eastAsia="仿宋_GB2312" w:cstheme="minorBidi"/>
      <w:kern w:val="2"/>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575CAD-837C-434F-AFC7-534659ED21A0}">
  <ds:schemaRefs/>
</ds:datastoreItem>
</file>

<file path=docProps/app.xml><?xml version="1.0" encoding="utf-8"?>
<Properties xmlns="http://schemas.openxmlformats.org/officeDocument/2006/extended-properties" xmlns:vt="http://schemas.openxmlformats.org/officeDocument/2006/docPropsVTypes">
  <Template>Normal.dotm</Template>
  <Pages>28</Pages>
  <Words>2218</Words>
  <Characters>12646</Characters>
  <Lines>105</Lines>
  <Paragraphs>29</Paragraphs>
  <TotalTime>0</TotalTime>
  <ScaleCrop>false</ScaleCrop>
  <LinksUpToDate>false</LinksUpToDate>
  <CharactersWithSpaces>14835</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2017-08-03T04:33:00Z</dcterms:created>
  <dc:creator>wzy</dc:creator>
  <cp:lastModifiedBy>标标</cp:lastModifiedBy>
  <cp:lastPrinted>2017-06-19T02:37:00Z</cp:lastPrinted>
  <dcterms:modified xsi:type="dcterms:W3CDTF">2023-01-16T03:36:52Z</dcterms:modified>
  <dc:title>东莞市石马河水环境综合整治达标方案</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920FDBA22AC94EF983668E6A8886DAFA</vt:lpwstr>
  </property>
</Properties>
</file>