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bookmarkStart w:id="0" w:name="_Toc294199832"/>
      <w:bookmarkStart w:id="1" w:name="_Toc294199742"/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color w:val="0070C0"/>
          <w:sz w:val="48"/>
          <w:szCs w:val="48"/>
        </w:rPr>
      </w:pPr>
      <w:r>
        <w:rPr>
          <w:rFonts w:hint="eastAsia" w:ascii="黑体" w:hAnsi="黑体" w:eastAsia="黑体" w:cs="黑体"/>
          <w:b/>
          <w:color w:val="0070C0"/>
          <w:sz w:val="48"/>
          <w:szCs w:val="48"/>
        </w:rPr>
        <w:t>202</w:t>
      </w:r>
      <w:r>
        <w:rPr>
          <w:rFonts w:hint="eastAsia" w:ascii="黑体" w:hAnsi="黑体" w:eastAsia="黑体" w:cs="黑体"/>
          <w:b/>
          <w:color w:val="0070C0"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70C0"/>
          <w:sz w:val="48"/>
          <w:szCs w:val="48"/>
        </w:rPr>
        <w:t>年中山市生态环境质量报告书</w:t>
      </w:r>
    </w:p>
    <w:p>
      <w:pPr>
        <w:jc w:val="center"/>
        <w:rPr>
          <w:rFonts w:hint="eastAsia" w:ascii="黑体" w:hAnsi="黑体" w:eastAsia="黑体" w:cs="黑体"/>
          <w:b/>
          <w:color w:val="0070C0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color w:val="0070C0"/>
          <w:sz w:val="48"/>
          <w:szCs w:val="48"/>
        </w:rPr>
      </w:pPr>
      <w:r>
        <w:rPr>
          <w:rFonts w:hint="eastAsia" w:ascii="黑体" w:hAnsi="黑体" w:eastAsia="黑体" w:cs="黑体"/>
          <w:b/>
          <w:color w:val="0070C0"/>
          <w:sz w:val="48"/>
          <w:szCs w:val="48"/>
        </w:rPr>
        <w:t>（公众版）</w:t>
      </w:r>
    </w:p>
    <w:p>
      <w:pPr>
        <w:pStyle w:val="2"/>
        <w:rPr>
          <w:rFonts w:ascii="Times New Roman" w:hAnsi="Times New Roman" w:eastAsia="宋体" w:cs="Times New Roman"/>
          <w:color w:val="0070C0"/>
        </w:rPr>
      </w:pPr>
    </w:p>
    <w:p>
      <w:pPr>
        <w:jc w:val="center"/>
        <w:rPr>
          <w:rFonts w:hint="eastAsia" w:ascii="方正舒体" w:hAnsi="方正舒体" w:eastAsia="方正舒体" w:cs="方正舒体"/>
          <w:b/>
          <w:bCs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color w:val="0070C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0070C0"/>
          <w:sz w:val="36"/>
          <w:szCs w:val="36"/>
        </w:rPr>
      </w:pPr>
      <w:r>
        <w:rPr>
          <w:rFonts w:hint="eastAsia" w:ascii="黑体" w:hAnsi="黑体" w:eastAsia="黑体" w:cs="黑体"/>
          <w:color w:val="0070C0"/>
          <w:sz w:val="36"/>
          <w:szCs w:val="36"/>
        </w:rPr>
        <w:t>中山市生态环境局</w:t>
      </w:r>
    </w:p>
    <w:p>
      <w:pPr>
        <w:jc w:val="center"/>
        <w:rPr>
          <w:rFonts w:ascii="Times New Roman" w:hAnsi="Times New Roman" w:cs="Times New Roman"/>
          <w:color w:val="0070C0"/>
          <w:sz w:val="36"/>
          <w:szCs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70C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70C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color w:val="0070C0"/>
          <w:sz w:val="36"/>
          <w:szCs w:val="36"/>
        </w:rPr>
        <w:t>年5月</w:t>
      </w:r>
    </w:p>
    <w:p>
      <w:pPr>
        <w:spacing w:line="400" w:lineRule="exact"/>
        <w:rPr>
          <w:rFonts w:ascii="Times New Roman" w:hAnsi="Times New Roman" w:eastAsia="宋体" w:cs="Times New Roman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36"/>
          <w:szCs w:val="36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70C0"/>
          <w:sz w:val="28"/>
          <w:szCs w:val="28"/>
        </w:rPr>
        <w:t>主编部门：</w:t>
      </w:r>
      <w:r>
        <w:rPr>
          <w:rFonts w:hint="eastAsia" w:ascii="黑体" w:hAnsi="黑体" w:eastAsia="黑体" w:cs="黑体"/>
          <w:sz w:val="28"/>
          <w:szCs w:val="28"/>
        </w:rPr>
        <w:t>广东省中山生态环境监测站</w:t>
      </w: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70C0"/>
          <w:sz w:val="28"/>
          <w:szCs w:val="28"/>
        </w:rPr>
        <w:t>批准单位：</w:t>
      </w:r>
      <w:r>
        <w:rPr>
          <w:rFonts w:hint="eastAsia" w:ascii="黑体" w:hAnsi="黑体" w:eastAsia="黑体" w:cs="黑体"/>
          <w:sz w:val="28"/>
          <w:szCs w:val="28"/>
        </w:rPr>
        <w:t>中山市生态环境局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0"/>
          <w:szCs w:val="22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70C0"/>
          <w:sz w:val="28"/>
          <w:szCs w:val="28"/>
        </w:rPr>
        <w:t>审定：</w:t>
      </w:r>
      <w:r>
        <w:rPr>
          <w:rFonts w:hint="eastAsia" w:ascii="黑体" w:hAnsi="黑体" w:eastAsia="黑体" w:cs="黑体"/>
          <w:sz w:val="28"/>
          <w:szCs w:val="28"/>
        </w:rPr>
        <w:t>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敏</w:t>
      </w: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70C0"/>
          <w:sz w:val="28"/>
          <w:szCs w:val="28"/>
        </w:rPr>
        <w:t>审核：</w:t>
      </w:r>
      <w:r>
        <w:rPr>
          <w:rFonts w:hint="eastAsia" w:ascii="黑体" w:hAnsi="黑体" w:eastAsia="黑体" w:cs="黑体"/>
          <w:sz w:val="28"/>
          <w:szCs w:val="28"/>
        </w:rPr>
        <w:t>杨满芽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徐迅宇</w:t>
      </w: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cr/>
      </w:r>
      <w:r>
        <w:rPr>
          <w:rFonts w:hint="eastAsia" w:ascii="黑体" w:hAnsi="黑体" w:eastAsia="黑体" w:cs="黑体"/>
          <w:color w:val="0070C0"/>
          <w:sz w:val="28"/>
          <w:szCs w:val="28"/>
        </w:rPr>
        <w:t>校核：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彭海辉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陈吟晖 李茂亿 冯聪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70C0"/>
          <w:sz w:val="28"/>
          <w:szCs w:val="28"/>
          <w:lang w:eastAsia="zh-CN"/>
        </w:rPr>
        <w:t>主编：</w:t>
      </w:r>
      <w:r>
        <w:rPr>
          <w:rFonts w:hint="eastAsia" w:ascii="黑体" w:hAnsi="黑体" w:eastAsia="黑体" w:cs="黑体"/>
          <w:sz w:val="28"/>
          <w:szCs w:val="28"/>
        </w:rPr>
        <w:t>康玉芬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70C0"/>
          <w:sz w:val="28"/>
          <w:szCs w:val="28"/>
        </w:rPr>
        <w:t>编写人员：</w:t>
      </w:r>
      <w:r>
        <w:rPr>
          <w:rFonts w:hint="eastAsia" w:ascii="黑体" w:hAnsi="黑体" w:eastAsia="黑体" w:cs="黑体"/>
          <w:sz w:val="28"/>
          <w:szCs w:val="28"/>
        </w:rPr>
        <w:t>吴艺、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植深晓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何家泳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1400" w:lineRule="atLeas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br w:type="page"/>
      </w:r>
      <w:r>
        <w:rPr>
          <w:rFonts w:hint="eastAsia" w:ascii="楷体" w:hAnsi="楷体" w:eastAsia="楷体" w:cs="楷体"/>
          <w:b/>
          <w:bCs w:val="0"/>
          <w:sz w:val="40"/>
          <w:szCs w:val="40"/>
        </w:rPr>
        <w:t>目</w:t>
      </w:r>
      <w:r>
        <w:rPr>
          <w:rFonts w:hint="eastAsia" w:ascii="楷体" w:hAnsi="楷体" w:eastAsia="楷体" w:cs="楷体"/>
          <w:b/>
          <w:bCs w:val="0"/>
          <w:sz w:val="40"/>
          <w:szCs w:val="4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 w:val="0"/>
          <w:sz w:val="40"/>
          <w:szCs w:val="40"/>
        </w:rPr>
        <w:t>录</w:t>
      </w:r>
    </w:p>
    <w:p>
      <w:pPr>
        <w:pStyle w:val="2"/>
      </w:pPr>
    </w:p>
    <w:p>
      <w:pPr>
        <w:pStyle w:val="17"/>
        <w:tabs>
          <w:tab w:val="right" w:leader="dot" w:pos="8306"/>
        </w:tabs>
        <w:rPr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ascii="Times New Roman" w:hAnsi="Times New Roman" w:eastAsia="仿宋" w:cs="Times New Roman"/>
          <w:b/>
          <w:bCs/>
          <w:color w:val="00B0F0"/>
          <w:sz w:val="28"/>
          <w:szCs w:val="28"/>
        </w:rPr>
        <w:fldChar w:fldCharType="begin"/>
      </w:r>
      <w:r>
        <w:rPr>
          <w:rFonts w:ascii="Times New Roman" w:hAnsi="Times New Roman" w:eastAsia="仿宋" w:cs="Times New Roman"/>
          <w:b/>
          <w:bCs/>
          <w:color w:val="00B0F0"/>
          <w:sz w:val="28"/>
          <w:szCs w:val="28"/>
        </w:rPr>
        <w:instrText xml:space="preserve"> HYPERLINK \l _Toc16547 </w:instrText>
      </w:r>
      <w:r>
        <w:rPr>
          <w:rFonts w:ascii="Times New Roman" w:hAnsi="Times New Roman" w:eastAsia="仿宋" w:cs="Times New Roman"/>
          <w:b/>
          <w:bCs/>
          <w:color w:val="00B0F0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B0F0"/>
          <w:kern w:val="2"/>
          <w:sz w:val="28"/>
          <w:szCs w:val="44"/>
          <w:lang w:val="en-US" w:eastAsia="zh-CN" w:bidi="ar-SA"/>
        </w:rPr>
        <w:t>（一）大气环境</w:t>
      </w:r>
      <w:r>
        <w:rPr>
          <w:b w:val="0"/>
          <w:bCs w:val="0"/>
          <w:color w:val="auto"/>
          <w:sz w:val="21"/>
          <w:szCs w:val="21"/>
        </w:rPr>
        <w:tab/>
      </w:r>
      <w:r>
        <w:rPr>
          <w:b w:val="0"/>
          <w:bCs w:val="0"/>
          <w:color w:val="auto"/>
          <w:sz w:val="21"/>
          <w:szCs w:val="21"/>
        </w:rPr>
        <w:fldChar w:fldCharType="begin"/>
      </w:r>
      <w:r>
        <w:rPr>
          <w:b w:val="0"/>
          <w:bCs w:val="0"/>
          <w:color w:val="auto"/>
          <w:sz w:val="21"/>
          <w:szCs w:val="21"/>
        </w:rPr>
        <w:instrText xml:space="preserve"> PAGEREF _Toc16547 \h </w:instrText>
      </w:r>
      <w:r>
        <w:rPr>
          <w:b w:val="0"/>
          <w:bCs w:val="0"/>
          <w:color w:val="auto"/>
          <w:sz w:val="21"/>
          <w:szCs w:val="21"/>
        </w:rPr>
        <w:fldChar w:fldCharType="separate"/>
      </w:r>
      <w:r>
        <w:rPr>
          <w:b w:val="0"/>
          <w:bCs w:val="0"/>
          <w:color w:val="auto"/>
          <w:sz w:val="21"/>
          <w:szCs w:val="21"/>
        </w:rPr>
        <w:t>1</w:t>
      </w:r>
      <w:r>
        <w:rPr>
          <w:b w:val="0"/>
          <w:bCs w:val="0"/>
          <w:color w:val="auto"/>
          <w:sz w:val="21"/>
          <w:szCs w:val="21"/>
        </w:rPr>
        <w:fldChar w:fldCharType="end"/>
      </w:r>
      <w:r>
        <w:rPr>
          <w:rFonts w:ascii="Times New Roman" w:hAnsi="Times New Roman" w:eastAsia="仿宋" w:cs="Times New Roman"/>
          <w:b/>
          <w:bCs/>
          <w:color w:val="00B0F0"/>
          <w:sz w:val="28"/>
          <w:szCs w:val="28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_Toc27242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1、二氧化硫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_Toc27242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_Toc24880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2、二氧化氮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_Toc24880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_Toc28986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3、可吸入颗粒物（PM</w:t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vertAlign w:val="subscript"/>
          <w:lang w:val="en-US" w:eastAsia="zh-CN" w:bidi="ar-SA"/>
        </w:rPr>
        <w:t>10</w:t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）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_Toc28986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_Toc12795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4、细颗粒物（PM</w:t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vertAlign w:val="subscript"/>
          <w:lang w:val="en-US" w:eastAsia="zh-CN" w:bidi="ar-SA"/>
        </w:rPr>
        <w:t>2.5</w:t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）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_Toc12795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_Toc29513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5、臭氧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_Toc29513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_Toc25119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6、一氧化碳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_Toc25119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_Toc1298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7、降尘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_Toc1298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_Toc30407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8、空气质量日报情况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_Toc30407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rFonts w:ascii="Times New Roman" w:hAnsi="Times New Roman" w:eastAsia="仿宋" w:cs="Times New Roman"/>
          <w:bCs/>
          <w:sz w:val="24"/>
          <w:szCs w:val="32"/>
          <w:lang w:val="zh-CN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_Toc22313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9、城市降水监测结果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_Toc22313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3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rPr>
          <w:sz w:val="24"/>
          <w:szCs w:val="32"/>
        </w:rPr>
      </w:pPr>
    </w:p>
    <w:p>
      <w:pPr>
        <w:pStyle w:val="17"/>
        <w:tabs>
          <w:tab w:val="right" w:leader="dot" w:pos="8306"/>
        </w:tabs>
        <w:rPr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instrText xml:space="preserve"> HYPERLINK \l _Toc1521 </w:instrText>
      </w: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/>
          <w:bCs w:val="0"/>
          <w:color w:val="92D050"/>
          <w:kern w:val="2"/>
          <w:sz w:val="28"/>
          <w:szCs w:val="44"/>
          <w:lang w:val="en-US" w:eastAsia="zh-CN" w:bidi="ar-SA"/>
        </w:rPr>
        <w:t>（二）水环境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_Toc1521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_Toc30853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1、饮用水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_Toc30853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4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_Toc6131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2、地表水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_Toc6131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4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_Toc14423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3、近岸海域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_Toc14423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5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</w:p>
    <w:p>
      <w:pPr>
        <w:pStyle w:val="17"/>
        <w:tabs>
          <w:tab w:val="right" w:leader="dot" w:pos="8306"/>
        </w:tabs>
        <w:rPr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instrText xml:space="preserve"> HYPERLINK \l _Toc2911 </w:instrText>
      </w: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28"/>
          <w:szCs w:val="44"/>
          <w:lang w:val="en-US" w:eastAsia="zh-CN" w:bidi="ar-SA"/>
        </w:rPr>
        <w:t>（三）声环境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_Toc2911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6</w:t>
      </w:r>
      <w:r>
        <w:rPr>
          <w:sz w:val="21"/>
          <w:szCs w:val="21"/>
        </w:rPr>
        <w:fldChar w:fldCharType="end"/>
      </w:r>
      <w:r>
        <w:rPr>
          <w:rFonts w:ascii="Times New Roman" w:hAnsi="Times New Roman" w:eastAsia="仿宋" w:cs="Times New Roman"/>
          <w:bCs/>
          <w:sz w:val="28"/>
          <w:szCs w:val="28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_Toc9580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1、区域环境噪声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_Toc9580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6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_Toc14619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2、道路交通噪声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_Toc14619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7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Style w:val="12"/>
        <w:tabs>
          <w:tab w:val="right" w:leader="dot" w:pos="8306"/>
        </w:tabs>
        <w:rPr>
          <w:sz w:val="24"/>
          <w:szCs w:val="32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begin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instrText xml:space="preserve"> HYPERLINK \l _Toc32506 </w:instrText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separate"/>
      </w:r>
      <w:r>
        <w:rPr>
          <w:rFonts w:hint="default" w:ascii="Times New Roman" w:hAnsi="Times New Roman" w:eastAsia="楷体" w:cs="Times New Roman"/>
          <w:bCs w:val="0"/>
          <w:kern w:val="2"/>
          <w:sz w:val="24"/>
          <w:szCs w:val="40"/>
          <w:lang w:val="en-US" w:eastAsia="zh-CN" w:bidi="ar-SA"/>
        </w:rPr>
        <w:t>3、功能区噪声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_Toc32506 \h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7</w:t>
      </w:r>
      <w:r>
        <w:rPr>
          <w:sz w:val="24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" w:cs="Times New Roman"/>
          <w:bCs/>
          <w:sz w:val="24"/>
          <w:szCs w:val="32"/>
          <w:lang w:val="zh-CN"/>
        </w:rPr>
        <w:fldChar w:fldCharType="end"/>
      </w:r>
    </w:p>
    <w:p>
      <w:pPr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ascii="Times New Roman" w:hAnsi="Times New Roman" w:cs="Times New Roman"/>
          <w:color w:val="FF0000"/>
          <w:sz w:val="36"/>
          <w:szCs w:val="36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bookmarkEnd w:id="0"/>
    <w:bookmarkEnd w:id="1"/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center"/>
        <w:textAlignment w:val="auto"/>
        <w:outlineLvl w:val="1"/>
        <w:rPr>
          <w:rFonts w:hint="eastAsia" w:ascii="楷体" w:hAnsi="楷体" w:eastAsia="楷体" w:cs="楷体"/>
          <w:b/>
          <w:bCs/>
          <w:color w:val="00B0F0"/>
          <w:kern w:val="2"/>
          <w:sz w:val="36"/>
          <w:szCs w:val="36"/>
          <w:lang w:val="en-US" w:eastAsia="zh-CN" w:bidi="ar-SA"/>
        </w:rPr>
      </w:pPr>
      <w:bookmarkStart w:id="2" w:name="_Toc16547"/>
      <w:bookmarkStart w:id="3" w:name="_Toc294199743"/>
      <w:bookmarkStart w:id="4" w:name="_Toc294199833"/>
      <w:r>
        <w:rPr>
          <w:rFonts w:hint="eastAsia" w:ascii="楷体" w:hAnsi="楷体" w:eastAsia="楷体" w:cs="楷体"/>
          <w:b/>
          <w:bCs/>
          <w:color w:val="00B0F0"/>
          <w:kern w:val="2"/>
          <w:sz w:val="36"/>
          <w:szCs w:val="36"/>
          <w:lang w:val="en-US" w:eastAsia="zh-CN" w:bidi="ar-SA"/>
        </w:rPr>
        <w:t>（一）大气环境</w:t>
      </w:r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2022年，中山市二氧化硫、二氧化氮、可吸入颗粒物、细颗粒物的年均值及相应的日均值特定百分位数浓度值均达到《环境空气质量标准》（GB 3095—2012）二级标准，一氧化碳日均值第95百分位数浓度值达到《环境空气质量标准》（GB 3095—2012）二级标准，臭氧日最大8小时滑动平均值的第90百分位数浓度值未达到《环境空气质量标准》（GB 3095—2012）二级标准，降尘达到省推荐标准。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5" w:name="_Toc27242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1、二氧化硫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2022年中山市二氧化硫日均值范围在2～10微克/立方米之间，全市二氧化硫年平均值为5微克/立方米，二氧化硫日均值第98百分位数浓度值为9微克/立方米，达到《环境空气质量标准》（GB 3095—2012）二级标准，监测数据有效天数365天，达标天数365天，达标率达到100 %。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6" w:name="_Toc24880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2、二氧化氮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2022年中山市二氧化氮日均值范围为3～83微克/立方米，年平均值为22微克/立方米，24小时平均第98百分位数浓度值为54微克/立方米，达到环境空气质量标准（GB 3095—2012）二级标准。监测数据有效天数365天，达标天数364天，达标率为99.7%。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7" w:name="_Toc28986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3、可吸入颗粒物（PM</w:t>
      </w:r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vertAlign w:val="subscript"/>
          <w:lang w:val="en-US" w:eastAsia="zh-CN" w:bidi="ar-SA"/>
        </w:rPr>
        <w:t>10</w:t>
      </w:r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）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2022年中山市可吸入颗粒物日均值范围为4～112微克/立方米，年平均值34微克/立方米，24小时平均第95百分位数浓度值为66微克/立方米，达到环境空气质量标准（GB 3095—2012）二级标准。监测数据有效天数365天，达标天数365天，达标率为100%。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8" w:name="_Toc12795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4、细颗粒物（PM</w:t>
      </w:r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vertAlign w:val="subscript"/>
          <w:lang w:val="en-US" w:eastAsia="zh-CN" w:bidi="ar-SA"/>
        </w:rPr>
        <w:t>2.5</w:t>
      </w:r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）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2022年中山市细颗粒物日均值范围为3～69微克/立方米，年平均值为19微克/立方米，24小时平均第95百分位数浓度值为41微克/立方米，达到环境空气质量标准（GB 3095—2012）二级标准。监测数据有效天数365天，达标天数365天，达标率达到100%。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9" w:name="_Toc29513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5、臭氧</w:t>
      </w:r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2022年中山市臭氧日最大8小时平均值范围为8～274微克/立方米，日最大8小时平均第90百分位数浓度值为184微克/立方米，未达到环境空气质量标准（GB 3095—2012）二级标准。监测数据有效天数365天，达标天数306天，达标率为83.8%。</w:t>
      </w: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10" w:name="_Toc25119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6、一氧化碳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2022年中山市一氧化碳日均值范围为0.3～1.1毫克/立方米，24小时平均第95百分位数浓度值为0.8毫克/立方米，达到环境空气质量标准（GB 3095—2012）二级标准。监测数据有效天数365天，达标天数365天，达标率为100%。</w:t>
      </w: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11" w:name="_Toc1298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7、降尘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2022年中山市降尘月均值在4.09～4.92吨/平方公里•30天范围之间，年均值为4.47吨/平方公里•30天，优于省推荐标准（8吨/平方公里•30天）。</w:t>
      </w: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12" w:name="_Toc30407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8、空气质量日报情况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全市环境空气质量指数（AQI）介于17～202之间，全市监测有效天数为365天，其中198天的环境空气质量为优，占54.2%；107天的环境空气质量为良，占29.3%；46天环境空气质量为轻度污染，占12.6%；12天环境空气质量为中度污染，占3.3%；2天环境空气质量为重度污染，占0.5%。2022年中山市环境空气首要污染物以臭氧为主，占81.1%。</w:t>
      </w:r>
    </w:p>
    <w:p>
      <w:pPr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楷体" w:cs="Times New Roman"/>
        </w:rPr>
      </w:pP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</w:pPr>
      <w:bookmarkStart w:id="13" w:name="_Toc22313"/>
      <w:r>
        <w:rPr>
          <w:rFonts w:hint="default" w:ascii="Times New Roman" w:hAnsi="Times New Roman" w:eastAsia="楷体" w:cs="Times New Roman"/>
          <w:b/>
          <w:bCs w:val="0"/>
          <w:color w:val="00B0F0"/>
          <w:kern w:val="2"/>
          <w:sz w:val="32"/>
          <w:szCs w:val="32"/>
          <w:lang w:val="en-US" w:eastAsia="zh-CN" w:bidi="ar-SA"/>
        </w:rPr>
        <w:t>9、城市降水监测结果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2022年两个降水监测采集点降水pH范围在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val="en-US" w:eastAsia="zh-CN" w:bidi="ar-SA"/>
        </w:rPr>
        <w:t>5.4～7.2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之间，全年降水pH均值为6.0，高于5.6的酸雨界限，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val="en-US" w:eastAsia="zh-CN" w:bidi="ar-SA"/>
        </w:rPr>
        <w:t>与去年相持平。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酸雨pH均值为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highlight w:val="none"/>
          <w:lang w:val="en-US" w:eastAsia="zh-CN" w:bidi="ar-SA"/>
        </w:rPr>
        <w:t>5.5，与去年相持平。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br w:type="page"/>
      </w: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center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00B050"/>
          <w:kern w:val="2"/>
          <w:sz w:val="36"/>
          <w:szCs w:val="36"/>
          <w:lang w:val="en-US" w:eastAsia="zh-CN" w:bidi="ar-SA"/>
        </w:rPr>
      </w:pPr>
      <w:bookmarkStart w:id="14" w:name="_Toc1521"/>
      <w:r>
        <w:rPr>
          <w:rFonts w:hint="default" w:ascii="Times New Roman" w:hAnsi="Times New Roman" w:eastAsia="楷体" w:cs="Times New Roman"/>
          <w:b/>
          <w:bCs/>
          <w:color w:val="00B050"/>
          <w:kern w:val="2"/>
          <w:sz w:val="36"/>
          <w:szCs w:val="36"/>
          <w:lang w:val="en-US" w:eastAsia="zh-CN" w:bidi="ar-SA"/>
        </w:rPr>
        <w:t>（二）水环境</w:t>
      </w:r>
      <w:bookmarkEnd w:id="14"/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50"/>
          <w:kern w:val="2"/>
          <w:sz w:val="32"/>
          <w:szCs w:val="32"/>
          <w:lang w:val="en-US" w:eastAsia="zh-CN" w:bidi="ar-SA"/>
        </w:rPr>
      </w:pPr>
      <w:bookmarkStart w:id="15" w:name="_Toc30853"/>
      <w:bookmarkStart w:id="16" w:name="_Toc536024482"/>
      <w:r>
        <w:rPr>
          <w:rFonts w:hint="default" w:ascii="Times New Roman" w:hAnsi="Times New Roman" w:eastAsia="楷体" w:cs="Times New Roman"/>
          <w:b/>
          <w:bCs w:val="0"/>
          <w:color w:val="00B050"/>
          <w:kern w:val="2"/>
          <w:sz w:val="32"/>
          <w:szCs w:val="32"/>
          <w:lang w:val="en-US" w:eastAsia="zh-CN" w:bidi="ar-SA"/>
        </w:rPr>
        <w:t>1、饮用水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2022年中山市两个城市集中式生活饮用水水源地（全禄水厂、马大丰水厂）每月水质均达到或优于《地表水环境质量标准》（GB 3838—2002）的Ⅲ类水质标准，饮用水源水质达标率为100%。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2022年长江水库（备用水源）每月水质均达到或优于《地表水环境质量标准》（GB 3838—2002）的Ⅲ类水质标准，营养状况处于中营养级别。</w:t>
      </w: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50"/>
          <w:kern w:val="2"/>
          <w:sz w:val="32"/>
          <w:szCs w:val="32"/>
          <w:lang w:val="en-US" w:eastAsia="zh-CN" w:bidi="ar-SA"/>
        </w:rPr>
      </w:pPr>
      <w:bookmarkStart w:id="17" w:name="_Toc6131"/>
      <w:r>
        <w:rPr>
          <w:rFonts w:hint="default" w:ascii="Times New Roman" w:hAnsi="Times New Roman" w:eastAsia="楷体" w:cs="Times New Roman"/>
          <w:b/>
          <w:bCs w:val="0"/>
          <w:color w:val="00B050"/>
          <w:kern w:val="2"/>
          <w:sz w:val="32"/>
          <w:szCs w:val="32"/>
          <w:lang w:val="en-US" w:eastAsia="zh-CN" w:bidi="ar-SA"/>
        </w:rPr>
        <w:t>2、地表水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default" w:ascii="Times New Roman" w:hAnsi="Times New Roman" w:eastAsia="楷体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2年鸡鸦水道、小榄水道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、磨刀门水道、横门水道、中心河、东海水道、洪奇沥水道、黄沙沥水道水质</w:t>
      </w:r>
      <w:r>
        <w:rPr>
          <w:rFonts w:hint="eastAsia" w:eastAsia="楷体" w:cs="Times New Roman"/>
          <w:color w:val="auto"/>
          <w:kern w:val="2"/>
          <w:sz w:val="28"/>
          <w:szCs w:val="28"/>
          <w:lang w:val="en-US" w:eastAsia="zh-CN" w:bidi="ar-SA"/>
        </w:rPr>
        <w:t>类别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均为Ⅱ类，水质状况为优。前山河、兰溪河、泮沙排洪渠、海洲水道水质</w:t>
      </w:r>
      <w:r>
        <w:rPr>
          <w:rFonts w:hint="eastAsia" w:eastAsia="楷体" w:cs="Times New Roman"/>
          <w:color w:val="auto"/>
          <w:kern w:val="2"/>
          <w:sz w:val="28"/>
          <w:szCs w:val="28"/>
          <w:lang w:val="en-US" w:eastAsia="zh-CN" w:bidi="ar-SA"/>
        </w:rPr>
        <w:t>类别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均为Ⅲ类，水质状况为良好。石岐河水质类别为Ⅴ类，水质状况为中度污染，超标污染物为氨氮。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与2021年相比，鸡鸦水道、小榄水道、磨刀门水道、横门水道、东海水道、洪奇沥水道、黄沙沥水道、前山河水道</w:t>
      </w:r>
      <w:r>
        <w:rPr>
          <w:rFonts w:hint="eastAsia" w:eastAsia="楷体" w:cs="Times New Roman"/>
          <w:kern w:val="2"/>
          <w:sz w:val="28"/>
          <w:szCs w:val="28"/>
          <w:lang w:val="en-US" w:eastAsia="zh-CN" w:bidi="ar-SA"/>
        </w:rPr>
        <w:t>、海洲水道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水质均无明显变化。</w:t>
      </w:r>
      <w:r>
        <w:rPr>
          <w:rFonts w:hint="default" w:ascii="Times New Roman" w:hAnsi="Times New Roman" w:eastAsia="楷体" w:cs="Times New Roman"/>
          <w:b/>
          <w:bCs/>
          <w:color w:val="00B050"/>
          <w:kern w:val="2"/>
          <w:sz w:val="28"/>
          <w:szCs w:val="28"/>
          <w:lang w:val="en-US" w:eastAsia="zh-CN" w:bidi="ar-SA"/>
        </w:rPr>
        <w:t>中心河、兰溪河、石岐河水质有所好转，泮沙排洪渠水质明显好转。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-SA"/>
        </w:rPr>
        <w:t>具体水质类别见表1。</w:t>
      </w:r>
    </w:p>
    <w:p>
      <w:pPr>
        <w:ind w:firstLine="2400" w:firstLineChars="1000"/>
        <w:rPr>
          <w:rFonts w:hint="default" w:ascii="Times New Roman" w:hAnsi="Times New Roman" w:eastAsia="楷体" w:cs="Times New Roman"/>
          <w:color w:val="00B05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Times New Roman" w:hAnsi="Times New Roman" w:eastAsia="楷体" w:cs="Times New Roman"/>
          <w:color w:val="00B05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B050"/>
          <w:sz w:val="24"/>
          <w:szCs w:val="24"/>
          <w:lang w:val="en-US" w:eastAsia="zh-CN"/>
        </w:rPr>
        <w:t>表1  202</w:t>
      </w:r>
      <w:r>
        <w:rPr>
          <w:rFonts w:hint="eastAsia" w:ascii="Times New Roman" w:hAnsi="Times New Roman" w:eastAsia="楷体" w:cs="Times New Roman"/>
          <w:color w:val="00B05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00B050"/>
          <w:sz w:val="24"/>
          <w:szCs w:val="24"/>
          <w:lang w:val="en-US" w:eastAsia="zh-CN"/>
        </w:rPr>
        <w:t>年地表水各水道水质类别</w:t>
      </w:r>
    </w:p>
    <w:p>
      <w:pPr>
        <w:pStyle w:val="39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楷体" w:cs="Times New Roman"/>
          <w:color w:val="00B050"/>
          <w:sz w:val="24"/>
          <w:szCs w:val="24"/>
          <w:lang w:val="en-US" w:eastAsia="zh-CN"/>
        </w:rPr>
      </w:pPr>
    </w:p>
    <w:tbl>
      <w:tblPr>
        <w:tblStyle w:val="20"/>
        <w:tblW w:w="904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06"/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706"/>
        <w:gridCol w:w="72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各水道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鸡鸦水道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小榄水道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磨刀门水道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横门水道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东海水道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洪奇沥水道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黄沙沥水道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中心河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前山河水道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海洲水道</w:t>
            </w: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兰溪河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泮沙排洪渠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石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岐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水质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606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6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6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6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6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7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7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7" w:type="dxa"/>
            <w:shd w:val="clear" w:color="auto" w:fill="00B0F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607" w:type="dxa"/>
            <w:shd w:val="clear" w:color="auto" w:fill="92D05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Ⅲ</w:t>
            </w:r>
          </w:p>
        </w:tc>
        <w:tc>
          <w:tcPr>
            <w:tcW w:w="607" w:type="dxa"/>
            <w:shd w:val="clear" w:color="auto" w:fill="92D05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Ⅲ</w:t>
            </w:r>
          </w:p>
        </w:tc>
        <w:tc>
          <w:tcPr>
            <w:tcW w:w="706" w:type="dxa"/>
            <w:shd w:val="clear" w:color="auto" w:fill="92D05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Ⅲ</w:t>
            </w:r>
          </w:p>
        </w:tc>
        <w:tc>
          <w:tcPr>
            <w:tcW w:w="720" w:type="dxa"/>
            <w:shd w:val="clear" w:color="auto" w:fill="92D05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Ⅲ</w:t>
            </w:r>
          </w:p>
        </w:tc>
        <w:tc>
          <w:tcPr>
            <w:tcW w:w="690" w:type="dxa"/>
            <w:shd w:val="clear" w:color="auto" w:fill="FFC000" w:themeFill="accent4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主要污染物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7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before="260" w:after="260" w:line="240" w:lineRule="auto"/>
        <w:jc w:val="both"/>
        <w:textAlignment w:val="auto"/>
        <w:outlineLvl w:val="2"/>
        <w:rPr>
          <w:rFonts w:hint="default" w:ascii="Times New Roman" w:hAnsi="Times New Roman" w:eastAsia="楷体" w:cs="Times New Roman"/>
          <w:b/>
          <w:bCs w:val="0"/>
          <w:color w:val="00B050"/>
          <w:kern w:val="2"/>
          <w:sz w:val="32"/>
          <w:szCs w:val="32"/>
          <w:lang w:val="en-US" w:eastAsia="zh-CN" w:bidi="ar-SA"/>
        </w:rPr>
      </w:pPr>
      <w:bookmarkStart w:id="18" w:name="_Toc14423"/>
      <w:r>
        <w:rPr>
          <w:rFonts w:hint="default" w:ascii="Times New Roman" w:hAnsi="Times New Roman" w:eastAsia="楷体" w:cs="Times New Roman"/>
          <w:b/>
          <w:bCs w:val="0"/>
          <w:color w:val="00B050"/>
          <w:kern w:val="2"/>
          <w:sz w:val="32"/>
          <w:szCs w:val="32"/>
          <w:lang w:val="en-US" w:eastAsia="zh-CN" w:bidi="ar-SA"/>
        </w:rPr>
        <w:t>3、近岸海域</w:t>
      </w:r>
      <w:bookmarkEnd w:id="18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color w:val="auto"/>
          <w:kern w:val="2"/>
          <w:sz w:val="21"/>
          <w:szCs w:val="21"/>
          <w:lang w:val="en-US" w:eastAsia="zh-CN" w:bidi="ar-SA"/>
        </w:rPr>
      </w:pPr>
      <w:bookmarkStart w:id="19" w:name="_Toc28306"/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2022年中山市近岸海域监测点位较2021年监测点位有所调整，由原来的6个监测点位，分别为1个国控点位（GDN20001）和5个省控点位（ZZ01、ZZ02、ZZ03、ZZ04和ZZ05）调整为1个监测点位（GDN20001），该点位既是国控点位又是省控点位。根据《海水水质标准》（GB 3097—1997），中山市近岸海域监测点位水质</w:t>
      </w:r>
      <w:r>
        <w:rPr>
          <w:rFonts w:hint="eastAsia" w:eastAsia="楷体" w:cs="Times New Roman"/>
          <w:color w:val="auto"/>
          <w:kern w:val="2"/>
          <w:sz w:val="28"/>
          <w:szCs w:val="28"/>
          <w:lang w:val="en-US" w:eastAsia="zh-CN" w:bidi="ar-SA"/>
        </w:rPr>
        <w:t>类别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为劣四类，水质状况极差。</w:t>
      </w:r>
      <w:r>
        <w:rPr>
          <w:rFonts w:hint="eastAsia" w:eastAsia="楷体" w:cs="Times New Roman"/>
          <w:color w:val="auto"/>
          <w:kern w:val="2"/>
          <w:sz w:val="28"/>
          <w:szCs w:val="28"/>
          <w:lang w:val="en-US" w:eastAsia="zh-CN" w:bidi="ar-SA"/>
        </w:rPr>
        <w:t>2022年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GDN20001的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主要污染物为无机氮，与2021年相比，水质状况无明显变化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eastAsia="楷体" w:cs="Times New Roman"/>
          <w:color w:val="auto"/>
          <w:kern w:val="2"/>
          <w:sz w:val="2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楷体" w:cs="Times New Roman"/>
          <w:color w:val="auto"/>
          <w:kern w:val="2"/>
          <w:sz w:val="21"/>
          <w:szCs w:val="21"/>
          <w:lang w:val="en-US" w:eastAsia="zh-CN" w:bidi="ar-SA"/>
        </w:rPr>
        <w:t>注：中山市近岸海域的监测数据来源于广东省生态环境监测中心。）</w:t>
      </w:r>
      <w:bookmarkEnd w:id="19"/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before="50" w:beforeLines="5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pageBreakBefore w:val="0"/>
        <w:kinsoku/>
        <w:wordWrap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楷体" w:cs="Times New Roman"/>
        </w:rPr>
      </w:pPr>
    </w:p>
    <w:p>
      <w:pPr>
        <w:keepNext/>
        <w:keepLines/>
        <w:pageBreakBefore w:val="0"/>
        <w:widowControl w:val="0"/>
        <w:numPr>
          <w:ilvl w:val="0"/>
          <w:numId w:val="10"/>
        </w:numPr>
        <w:kinsoku/>
        <w:wordWrap/>
        <w:topLinePunct w:val="0"/>
        <w:autoSpaceDE/>
        <w:autoSpaceDN/>
        <w:bidi w:val="0"/>
        <w:spacing w:before="260" w:after="260" w:line="240" w:lineRule="auto"/>
        <w:jc w:val="center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0070C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br w:type="page"/>
      </w:r>
      <w:bookmarkEnd w:id="16"/>
      <w:bookmarkStart w:id="20" w:name="_Toc2911"/>
      <w:r>
        <w:rPr>
          <w:rFonts w:hint="default" w:ascii="Times New Roman" w:hAnsi="Times New Roman" w:eastAsia="楷体" w:cs="Times New Roman"/>
          <w:b/>
          <w:bCs/>
          <w:color w:val="0070C0"/>
          <w:kern w:val="2"/>
          <w:sz w:val="36"/>
          <w:szCs w:val="36"/>
          <w:lang w:val="en-US" w:eastAsia="zh-CN" w:bidi="ar-SA"/>
        </w:rPr>
        <w:t>声环境</w:t>
      </w:r>
      <w:bookmarkEnd w:id="20"/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32"/>
          <w:szCs w:val="32"/>
          <w:lang w:val="en-US" w:eastAsia="zh-CN" w:bidi="ar-SA"/>
        </w:rPr>
      </w:pPr>
      <w:bookmarkStart w:id="21" w:name="_Toc11659"/>
      <w:r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32"/>
          <w:szCs w:val="32"/>
          <w:lang w:val="en-US" w:eastAsia="zh-CN" w:bidi="ar-SA"/>
        </w:rPr>
        <w:t>1、区域环境噪声</w:t>
      </w:r>
      <w:bookmarkEnd w:id="2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年中山市区域环境噪声等效声级年均值为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59.0分贝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，达到《声环境质量标准》（GB 3096—2008）2类区昼间标准（60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分贝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），与202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年相比，上升了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0.1分贝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。我市区域声环境质量总体水平等级为“三级”，属于“一般”水平。影响我市区域环境噪声的噪声源主要来自于交通类声源，覆盖面积为96.5平方公里，占总面积41.6%。区域环境噪声等效声级较高的是施工噪声，其等效声级均值为63.2分贝。各类型噪声源中超标率最高的为生活类区，工业类区次之。根据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年中山市区域环境噪声暴露在不同等效声级下面积分布图（图1）可见，全市大部分面积处于60.1～65.0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分贝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的等效声级范围内。</w:t>
      </w:r>
    </w:p>
    <w:p>
      <w:pPr>
        <w:spacing w:line="500" w:lineRule="exact"/>
        <w:ind w:firstLine="498" w:firstLineChars="178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4931410" cy="3127375"/>
            <wp:effectExtent l="0" t="0" r="2540" b="158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3286125</wp:posOffset>
                </wp:positionV>
                <wp:extent cx="3251200" cy="481965"/>
                <wp:effectExtent l="0" t="0" r="6350" b="1333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图1  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年中山市区域噪声暴露在不同等效声级下面积分布图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3pt;margin-top:258.75pt;height:37.95pt;width:256pt;z-index:251659264;mso-width-relative:page;mso-height-relative:page;" fillcolor="#FFFFFF" filled="t" stroked="f" coordsize="21600,21600" o:gfxdata="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H8XE2AAAAAsBAAAPAAAAAAAAAAEAIAAAACIA&#10;AABkcnMvZG93bnJldi54bWxQSwECFAAUAAAACACHTuJATFhnYkICAABkBAAADgAAAAAAAAABACAA&#10;AAAn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图1  202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年中山市区域噪声暴露在不同等效声级下面积分布图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kern w:val="0"/>
          <w:sz w:val="24"/>
        </w:rPr>
      </w:pP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</w:p>
    <w:p>
      <w:pPr>
        <w:tabs>
          <w:tab w:val="left" w:pos="720"/>
          <w:tab w:val="left" w:pos="1080"/>
        </w:tabs>
        <w:adjustRightInd w:val="0"/>
        <w:snapToGrid w:val="0"/>
        <w:spacing w:line="360" w:lineRule="auto"/>
        <w:jc w:val="both"/>
        <w:rPr>
          <w:rFonts w:ascii="Times New Roman" w:hAnsi="Times New Roman" w:eastAsia="黑体" w:cs="Times New Roman"/>
          <w:sz w:val="24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32"/>
          <w:szCs w:val="32"/>
          <w:lang w:val="en-US" w:eastAsia="zh-CN" w:bidi="ar-SA"/>
        </w:rPr>
      </w:pPr>
      <w:bookmarkStart w:id="22" w:name="_Toc21076"/>
      <w:r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32"/>
          <w:szCs w:val="32"/>
          <w:lang w:val="en-US" w:eastAsia="zh-CN" w:bidi="ar-SA"/>
        </w:rPr>
        <w:t>2、道路交通噪声</w:t>
      </w:r>
      <w:bookmarkEnd w:id="22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年中山市道路交通噪声昼间等效声级平均值为67.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9分贝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，达到《声环境质量标准》（GB 3096—2008）4类区昼间标准（70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分贝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），与上年相比，全市城市道路交通声环境质量保持稳定。中山市道路交通噪声强度等级为</w:t>
      </w: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一级</w:t>
      </w: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，属于</w:t>
      </w: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好</w:t>
      </w: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水平。中山市道路交通噪声暴露在不同等效声级下路段长度分布见图2。</w:t>
      </w:r>
      <w:bookmarkStart w:id="24" w:name="_GoBack"/>
      <w:bookmarkEnd w:id="2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202565</wp:posOffset>
            </wp:positionV>
            <wp:extent cx="5217160" cy="3312160"/>
            <wp:effectExtent l="0" t="0" r="2540" b="2540"/>
            <wp:wrapTopAndBottom/>
            <wp:docPr id="1" name="图片 1" descr="clipbord_168549398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lipbord_16854939830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</w:rPr>
        <w:t>图2  中山市道路交通噪声暴露在不同等效声级下路段分布</w:t>
      </w:r>
    </w:p>
    <w:p>
      <w:pPr>
        <w:jc w:val="center"/>
        <w:rPr>
          <w:rFonts w:ascii="Times New Roman" w:hAnsi="Times New Roman" w:eastAsia="宋体" w:cs="Times New Roman"/>
          <w:b/>
          <w:sz w:val="24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32"/>
          <w:szCs w:val="32"/>
          <w:lang w:val="en-US" w:eastAsia="zh-CN" w:bidi="ar-SA"/>
        </w:rPr>
      </w:pPr>
      <w:bookmarkStart w:id="23" w:name="_Toc4926"/>
      <w:r>
        <w:rPr>
          <w:rFonts w:hint="default" w:ascii="Times New Roman" w:hAnsi="Times New Roman" w:eastAsia="楷体" w:cs="Times New Roman"/>
          <w:b/>
          <w:bCs w:val="0"/>
          <w:color w:val="0070C0"/>
          <w:kern w:val="2"/>
          <w:sz w:val="32"/>
          <w:szCs w:val="32"/>
          <w:lang w:val="en-US" w:eastAsia="zh-CN" w:bidi="ar-SA"/>
        </w:rPr>
        <w:t>3、功能区噪声</w:t>
      </w:r>
      <w:bookmarkEnd w:id="23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中山市功能区噪声监测点位为10个：1类区的紫马岭公园内，2类区的天湖上街5号后面、碧提湾畔、如愿居、仙逸中学、安居花园（火炬开发区管委会旁），3类区协昱电子科技（中山）有限公司，4a类区博览中心、中山市体育运动学校和4b类区的广丰小学，四类区同步记录车流量。各类功能区质量状况分述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1类区昼间等效声级均值为45.0分贝，比去年下降0.1分贝，无超标；夜间等效声级均值为37.8分贝，比去年下降2.3分贝，无超标。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2类区昼间等效声级均值为52.4分贝，比去年下降0.6分贝，无超标；夜间等效声级均值为45.8分贝，比去年下降0.4分贝，无超标。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3类区昼间等效声级均值为56.8分贝，比去年下降0.4分贝，无超标；夜间等效声级均值为51.8分贝，比去年下降0.3分贝，无超标。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 xml:space="preserve">4a类区：昼间等效声级均值为68.8分贝，比去年下降2.0分贝，无超标；夜间等效声级均值出现超标，为64.8分贝，比去年下降1.7分贝，超标量为9.8分贝。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4b类区：昼间等效声级均值为64.8分贝，比去年下降2.9分贝，无超标；夜间等效声级均值为58.2分贝，比去年上升2.3分贝，无超标。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80" w:lineRule="exact"/>
        <w:ind w:firstLine="560" w:firstLineChars="200"/>
        <w:jc w:val="both"/>
        <w:textAlignment w:val="auto"/>
        <w:outlineLvl w:val="2"/>
        <w:rPr>
          <w:rFonts w:hint="default"/>
          <w:color w:val="0070C0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由上述分析可见，202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年功能区噪声环境质量整体情况良好，4a类区夜间超出《声环境质量标准》（GB 3096—2008）。与202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年相比，202</w:t>
      </w:r>
      <w:r>
        <w:rPr>
          <w:rFonts w:hint="eastAsia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color w:val="auto"/>
          <w:kern w:val="2"/>
          <w:sz w:val="28"/>
          <w:szCs w:val="28"/>
          <w:lang w:val="en-US" w:eastAsia="zh-CN" w:bidi="ar-SA"/>
        </w:rPr>
        <w:t>年功能区噪声等效声级4b类区夜间有所上升，其余功能区昼间、夜间噪声均有不同程度的下降。表明</w:t>
      </w:r>
      <w:r>
        <w:rPr>
          <w:rFonts w:hint="default" w:ascii="Times New Roman" w:hAnsi="Times New Roman" w:eastAsia="楷体" w:cs="Times New Roman"/>
          <w:color w:val="0070C0"/>
          <w:kern w:val="2"/>
          <w:sz w:val="28"/>
          <w:szCs w:val="28"/>
          <w:lang w:val="en-US" w:eastAsia="zh-CN" w:bidi="ar-SA"/>
        </w:rPr>
        <w:t>各功能区噪声污染程度有减弱的趋势。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3">
      <wne:acd wne:acdName="acd0"/>
    </wne:keymap>
    <wne:keymap wne:kcmPrimary="0234">
      <wne:acd wne:acdName="acd1"/>
    </wne:keymap>
    <wne:keymap wne:kcmPrimary="0236">
      <wne:acd wne:acdName="acd2"/>
    </wne:keymap>
    <wne:keymap wne:kcmPrimary="045A">
      <wne:acd wne:acdName="acd3"/>
    </wne:keymap>
    <wne:keymap wne:kcmPrimary="0235">
      <wne:acd wne:acdName="acd4"/>
    </wne:keymap>
    <wne:keymap wne:kcmPrimary="0251">
      <wne:acd wne:acdName="acd5"/>
    </wne:keymap>
    <wne:keymap wne:kcmPrimary="0451">
      <wne:acd wne:acdName="acd6"/>
    </wne:keymap>
    <wne:keymap wne:kcmPrimary="0433">
      <wne:acd wne:acdName="acd7"/>
    </wne:keymap>
    <wne:keymap wne:kcmPrimary="0457">
      <wne:acd wne:acdName="acd8"/>
    </wne:keymap>
    <wne:keymap wne:kcmPrimary="0431">
      <wne:acd wne:acdName="acd9"/>
    </wne:keymap>
  </wne:keymaps>
  <wne:acds>
    <wne:acd wne:argValue="AgAwADAAMwA=" wne:acdName="acd0" wne:fciIndexBasedOn="0065"/>
    <wne:acd wne:argValue="AgAwADAANAA=" wne:acdName="acd1" wne:fciIndexBasedOn="0065"/>
    <wne:acd wne:argValue="AgAwADAANgA=" wne:acdName="acd2" wne:fciIndexBasedOn="0065"/>
    <wne:acd wne:argValue="AgAxADEAMQA=" wne:acdName="acd3" wne:fciIndexBasedOn="0065"/>
    <wne:acd wne:argValue="AgAwADAANQBhAA==" wne:acdName="acd4" wne:fciIndexBasedOn="0065"/>
    <wne:acd wne:argValue="AgAwADAANgBhAA==" wne:acdName="acd5" wne:fciIndexBasedOn="0065"/>
    <wne:acd wne:argValue="AgAwADAANgBiAA==" wne:acdName="acd6" wne:fciIndexBasedOn="0065"/>
    <wne:acd wne:argValue="AgAzADMAMwA=" wne:acdName="acd7" wne:fciIndexBasedOn="0065"/>
    <wne:acd wne:argValue="AgAzADMAMwBhAA==" wne:acdName="acd8" wne:fciIndexBasedOn="0065"/>
    <wne:acd wne:argValue="AgD+VgdomJggAGEAbAB0ACAAMQA=" wne:acdName="acd9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宋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2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22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13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120" w:beforeLines="50" w:line="300" w:lineRule="auto"/>
      <w:ind w:firstLine="0" w:firstLineChars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黑体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="Calibri" w:hAnsi="Calibri" w:eastAsia="宋体" w:cs="黑体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黑体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黑体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黑体"/>
                              <w:szCs w:val="22"/>
                            </w:rPr>
                            <w:t>297</w:t>
                          </w:r>
                          <w:r>
                            <w:rPr>
                              <w:rFonts w:hint="eastAsia" w:ascii="Calibri" w:hAnsi="Calibri" w:eastAsia="宋体" w:cs="黑体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黑体"/>
                        <w:sz w:val="18"/>
                        <w:szCs w:val="22"/>
                      </w:rPr>
                    </w:pPr>
                    <w:r>
                      <w:rPr>
                        <w:rFonts w:hint="eastAsia" w:ascii="Calibri" w:hAnsi="Calibri" w:eastAsia="宋体" w:cs="黑体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黑体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黑体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 w:eastAsia="宋体" w:cs="黑体"/>
                        <w:szCs w:val="22"/>
                      </w:rPr>
                      <w:t>297</w:t>
                    </w:r>
                    <w:r>
                      <w:rPr>
                        <w:rFonts w:hint="eastAsia" w:ascii="Calibri" w:hAnsi="Calibri" w:eastAsia="宋体" w:cs="黑体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rPr>
        <w:rFonts w:hint="eastAsia" w:ascii="Times New Roman" w:hAnsi="Times New Roman" w:eastAsia="宋体" w:cs="Times New Roman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A9A42"/>
    <w:multiLevelType w:val="singleLevel"/>
    <w:tmpl w:val="BEDA9A42"/>
    <w:lvl w:ilvl="0" w:tentative="0">
      <w:start w:val="1"/>
      <w:numFmt w:val="chineseCounting"/>
      <w:pStyle w:val="23"/>
      <w:suff w:val="nothing"/>
      <w:lvlText w:val="%1、"/>
      <w:lvlJc w:val="left"/>
      <w:pPr>
        <w:ind w:left="0" w:firstLine="420"/>
      </w:pPr>
      <w:rPr>
        <w:rFonts w:hint="eastAsia" w:eastAsia="黑体"/>
        <w:sz w:val="28"/>
        <w:szCs w:val="28"/>
      </w:rPr>
    </w:lvl>
  </w:abstractNum>
  <w:abstractNum w:abstractNumId="1">
    <w:nsid w:val="D00E9060"/>
    <w:multiLevelType w:val="singleLevel"/>
    <w:tmpl w:val="D00E9060"/>
    <w:lvl w:ilvl="0" w:tentative="0">
      <w:start w:val="1"/>
      <w:numFmt w:val="decimal"/>
      <w:pStyle w:val="25"/>
      <w:suff w:val="nothing"/>
      <w:lvlText w:val="%1．"/>
      <w:lvlJc w:val="left"/>
      <w:pPr>
        <w:ind w:left="0" w:firstLine="400"/>
      </w:pPr>
      <w:rPr>
        <w:rFonts w:hint="default" w:ascii="黑体" w:hAnsi="黑体" w:eastAsia="黑体"/>
        <w:sz w:val="28"/>
        <w:szCs w:val="28"/>
      </w:rPr>
    </w:lvl>
  </w:abstractNum>
  <w:abstractNum w:abstractNumId="2">
    <w:nsid w:val="D625FF18"/>
    <w:multiLevelType w:val="singleLevel"/>
    <w:tmpl w:val="D625FF18"/>
    <w:lvl w:ilvl="0" w:tentative="0">
      <w:start w:val="1"/>
      <w:numFmt w:val="decimal"/>
      <w:pStyle w:val="26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D8D41CC1"/>
    <w:multiLevelType w:val="multilevel"/>
    <w:tmpl w:val="D8D41CC1"/>
    <w:lvl w:ilvl="0" w:tentative="0">
      <w:start w:val="4"/>
      <w:numFmt w:val="chineseCountingThousand"/>
      <w:pStyle w:val="5"/>
      <w:lvlText w:val="第%1章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2"/>
      <w:numFmt w:val="chineseCountingThousand"/>
      <w:lvlText w:val="第%2章"/>
      <w:lvlJc w:val="left"/>
      <w:pPr>
        <w:ind w:left="850" w:hanging="425"/>
      </w:pPr>
      <w:rPr>
        <w:rFonts w:hint="eastAsia"/>
      </w:rPr>
    </w:lvl>
    <w:lvl w:ilvl="2" w:tentative="0">
      <w:start w:val="1"/>
      <w:numFmt w:val="chineseCountingThousand"/>
      <w:pStyle w:val="28"/>
      <w:lvlText w:val="%3、"/>
      <w:lvlJc w:val="righ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3" w:tentative="0">
      <w:start w:val="1"/>
      <w:numFmt w:val="chineseCountingThousand"/>
      <w:pStyle w:val="8"/>
      <w:lvlText w:val="（%4）"/>
      <w:lvlJc w:val="left"/>
      <w:pPr>
        <w:ind w:left="284" w:hanging="284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5.%6.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75" w:hanging="425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400" w:hanging="425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25" w:hanging="425"/>
      </w:pPr>
      <w:rPr>
        <w:rFonts w:hint="eastAsia"/>
      </w:rPr>
    </w:lvl>
  </w:abstractNum>
  <w:abstractNum w:abstractNumId="4">
    <w:nsid w:val="F8BC055E"/>
    <w:multiLevelType w:val="singleLevel"/>
    <w:tmpl w:val="F8BC055E"/>
    <w:lvl w:ilvl="0" w:tentative="0">
      <w:start w:val="1"/>
      <w:numFmt w:val="decimal"/>
      <w:pStyle w:val="34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8E682E9"/>
    <w:multiLevelType w:val="multilevel"/>
    <w:tmpl w:val="18E682E9"/>
    <w:lvl w:ilvl="0" w:tentative="0">
      <w:start w:val="4"/>
      <w:numFmt w:val="chineseCountingThousand"/>
      <w:lvlText w:val="第%1章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2"/>
      <w:numFmt w:val="chineseCountingThousand"/>
      <w:pStyle w:val="27"/>
      <w:lvlText w:val="第%2章"/>
      <w:lvlJc w:val="left"/>
      <w:pPr>
        <w:ind w:left="850" w:hanging="425"/>
      </w:pPr>
      <w:rPr>
        <w:rFonts w:hint="eastAsia"/>
      </w:rPr>
    </w:lvl>
    <w:lvl w:ilvl="2" w:tentative="0">
      <w:start w:val="1"/>
      <w:numFmt w:val="chineseCountingThousand"/>
      <w:lvlText w:val="%3、"/>
      <w:lvlJc w:val="righ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3" w:tentative="0">
      <w:start w:val="1"/>
      <w:numFmt w:val="chineseCountingThousand"/>
      <w:lvlText w:val="（%4）"/>
      <w:lvlJc w:val="left"/>
      <w:pPr>
        <w:ind w:left="284" w:hanging="284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5.%6.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75" w:hanging="425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400" w:hanging="425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25" w:hanging="425"/>
      </w:pPr>
      <w:rPr>
        <w:rFonts w:hint="eastAsia"/>
      </w:rPr>
    </w:lvl>
  </w:abstractNum>
  <w:abstractNum w:abstractNumId="6">
    <w:nsid w:val="2FDA8EFC"/>
    <w:multiLevelType w:val="singleLevel"/>
    <w:tmpl w:val="2FDA8EFC"/>
    <w:lvl w:ilvl="0" w:tentative="0">
      <w:start w:val="1"/>
      <w:numFmt w:val="decimal"/>
      <w:pStyle w:val="32"/>
      <w:suff w:val="nothing"/>
      <w:lvlText w:val="%1．"/>
      <w:lvlJc w:val="left"/>
      <w:pPr>
        <w:ind w:left="0" w:firstLine="400"/>
      </w:pPr>
      <w:rPr>
        <w:rFonts w:hint="default" w:ascii="黑体" w:hAnsi="黑体" w:eastAsia="黑体"/>
        <w:sz w:val="28"/>
        <w:szCs w:val="28"/>
      </w:rPr>
    </w:lvl>
  </w:abstractNum>
  <w:abstractNum w:abstractNumId="7">
    <w:nsid w:val="50C4A38D"/>
    <w:multiLevelType w:val="singleLevel"/>
    <w:tmpl w:val="50C4A38D"/>
    <w:lvl w:ilvl="0" w:tentative="0">
      <w:start w:val="1"/>
      <w:numFmt w:val="chineseCounting"/>
      <w:pStyle w:val="2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50F07248"/>
    <w:multiLevelType w:val="singleLevel"/>
    <w:tmpl w:val="50F07248"/>
    <w:lvl w:ilvl="0" w:tentative="0">
      <w:start w:val="1"/>
      <w:numFmt w:val="decimal"/>
      <w:pStyle w:val="33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67CD6244"/>
    <w:multiLevelType w:val="singleLevel"/>
    <w:tmpl w:val="67CD624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4DC4"/>
    <w:rsid w:val="04A845B3"/>
    <w:rsid w:val="06F20248"/>
    <w:rsid w:val="07C12949"/>
    <w:rsid w:val="09152300"/>
    <w:rsid w:val="0ABF4ADD"/>
    <w:rsid w:val="0AF36C07"/>
    <w:rsid w:val="0DD44E30"/>
    <w:rsid w:val="0FEC73F9"/>
    <w:rsid w:val="11EC6A74"/>
    <w:rsid w:val="13072225"/>
    <w:rsid w:val="14694C0A"/>
    <w:rsid w:val="175305BF"/>
    <w:rsid w:val="17A25CE9"/>
    <w:rsid w:val="18B4775D"/>
    <w:rsid w:val="18E81AE0"/>
    <w:rsid w:val="194755AE"/>
    <w:rsid w:val="1ACD7E07"/>
    <w:rsid w:val="1AD31D10"/>
    <w:rsid w:val="1CFF27DF"/>
    <w:rsid w:val="1E001792"/>
    <w:rsid w:val="1F5627F9"/>
    <w:rsid w:val="1F778348"/>
    <w:rsid w:val="1FD565CD"/>
    <w:rsid w:val="21FC5F50"/>
    <w:rsid w:val="224E1CF8"/>
    <w:rsid w:val="226F7D5A"/>
    <w:rsid w:val="231C08A1"/>
    <w:rsid w:val="24A8255A"/>
    <w:rsid w:val="279F7A6E"/>
    <w:rsid w:val="27C923FA"/>
    <w:rsid w:val="288955C1"/>
    <w:rsid w:val="2A126915"/>
    <w:rsid w:val="2A1E6314"/>
    <w:rsid w:val="2D491441"/>
    <w:rsid w:val="2DF95907"/>
    <w:rsid w:val="2E324C75"/>
    <w:rsid w:val="2E8F77F5"/>
    <w:rsid w:val="33E565DE"/>
    <w:rsid w:val="34CF31A2"/>
    <w:rsid w:val="375D0761"/>
    <w:rsid w:val="37EC0EA6"/>
    <w:rsid w:val="39610B77"/>
    <w:rsid w:val="3A025723"/>
    <w:rsid w:val="3B070FA2"/>
    <w:rsid w:val="3B82528F"/>
    <w:rsid w:val="3BEB75DB"/>
    <w:rsid w:val="3BFB46DF"/>
    <w:rsid w:val="3C71278E"/>
    <w:rsid w:val="3D351B7B"/>
    <w:rsid w:val="3F625006"/>
    <w:rsid w:val="41CE4345"/>
    <w:rsid w:val="41D15281"/>
    <w:rsid w:val="43387562"/>
    <w:rsid w:val="43F714A3"/>
    <w:rsid w:val="44FA26A3"/>
    <w:rsid w:val="46641542"/>
    <w:rsid w:val="476E2172"/>
    <w:rsid w:val="498A77E3"/>
    <w:rsid w:val="4A9D384A"/>
    <w:rsid w:val="4B7B0767"/>
    <w:rsid w:val="4CA55109"/>
    <w:rsid w:val="4CB46925"/>
    <w:rsid w:val="4DF448D1"/>
    <w:rsid w:val="4DF959A5"/>
    <w:rsid w:val="4EB575B0"/>
    <w:rsid w:val="514A017D"/>
    <w:rsid w:val="528878B7"/>
    <w:rsid w:val="541D0FF2"/>
    <w:rsid w:val="542813C8"/>
    <w:rsid w:val="554E578E"/>
    <w:rsid w:val="57C40EC0"/>
    <w:rsid w:val="5A656828"/>
    <w:rsid w:val="5A9916C0"/>
    <w:rsid w:val="5AF5309D"/>
    <w:rsid w:val="60380C34"/>
    <w:rsid w:val="613B4444"/>
    <w:rsid w:val="61466DA4"/>
    <w:rsid w:val="61A85B43"/>
    <w:rsid w:val="62926DC6"/>
    <w:rsid w:val="63F956FB"/>
    <w:rsid w:val="65093BA9"/>
    <w:rsid w:val="656B1A72"/>
    <w:rsid w:val="66B5C6BB"/>
    <w:rsid w:val="67C63A15"/>
    <w:rsid w:val="68CC7EC3"/>
    <w:rsid w:val="6CBB2C0C"/>
    <w:rsid w:val="6D95086D"/>
    <w:rsid w:val="6E566D19"/>
    <w:rsid w:val="6EDA3E0D"/>
    <w:rsid w:val="6F6F2780"/>
    <w:rsid w:val="6FD25B9E"/>
    <w:rsid w:val="707423CE"/>
    <w:rsid w:val="71041CF8"/>
    <w:rsid w:val="72543682"/>
    <w:rsid w:val="72C72C00"/>
    <w:rsid w:val="72E60052"/>
    <w:rsid w:val="7553580B"/>
    <w:rsid w:val="75755CA2"/>
    <w:rsid w:val="759D1102"/>
    <w:rsid w:val="75A629EA"/>
    <w:rsid w:val="76AC79A5"/>
    <w:rsid w:val="772A4F3B"/>
    <w:rsid w:val="79C70D43"/>
    <w:rsid w:val="7A5742C4"/>
    <w:rsid w:val="7A6A6000"/>
    <w:rsid w:val="7AB55178"/>
    <w:rsid w:val="7B2C33A2"/>
    <w:rsid w:val="7CEA4B47"/>
    <w:rsid w:val="7D592A4D"/>
    <w:rsid w:val="7DBE8E0C"/>
    <w:rsid w:val="7E052A45"/>
    <w:rsid w:val="7F015613"/>
    <w:rsid w:val="FEE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567" w:hanging="567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84" w:hanging="28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adjustRightInd w:val="0"/>
      <w:snapToGrid w:val="0"/>
      <w:spacing w:beforeLines="0" w:line="400" w:lineRule="atLeast"/>
      <w:ind w:firstLine="90" w:firstLineChars="90"/>
      <w:jc w:val="center"/>
      <w:textAlignment w:val="baseline"/>
    </w:pPr>
    <w:rPr>
      <w:rFonts w:ascii="宋体" w:hAnsi="Times New Roman" w:eastAsia="创艺简宋体" w:cs="Times New Roman"/>
      <w:b/>
      <w:kern w:val="0"/>
      <w:sz w:val="18"/>
      <w:szCs w:val="20"/>
      <w:lang w:val="en-US" w:eastAsia="zh-CN" w:bidi="ar-SA"/>
    </w:rPr>
  </w:style>
  <w:style w:type="paragraph" w:styleId="4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1">
    <w:name w:val="annotation text"/>
    <w:unhideWhenUsed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toc 3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5">
    <w:name w:val="toc 1"/>
    <w:next w:val="1"/>
    <w:unhideWhenUsed/>
    <w:qFormat/>
    <w:uiPriority w:val="39"/>
    <w:pPr>
      <w:widowControl/>
      <w:spacing w:after="100" w:line="259" w:lineRule="auto"/>
      <w:jc w:val="left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paragraph" w:styleId="16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17">
    <w:name w:val="toc 2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paragraph" w:styleId="18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2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qFormat/>
    <w:uiPriority w:val="0"/>
  </w:style>
  <w:style w:type="paragraph" w:customStyle="1" w:styleId="23">
    <w:name w:val="003"/>
    <w:basedOn w:val="7"/>
    <w:next w:val="1"/>
    <w:qFormat/>
    <w:uiPriority w:val="0"/>
    <w:pPr>
      <w:keepNext/>
      <w:keepLines/>
      <w:numPr>
        <w:ilvl w:val="0"/>
        <w:numId w:val="2"/>
      </w:numPr>
      <w:adjustRightInd w:val="0"/>
      <w:spacing w:before="50" w:beforeLines="50" w:line="240" w:lineRule="auto"/>
      <w:ind w:right="100" w:rightChars="100" w:firstLine="640" w:firstLineChars="200"/>
      <w:outlineLvl w:val="2"/>
    </w:pPr>
    <w:rPr>
      <w:rFonts w:ascii="Times New Roman" w:hAnsi="Times New Roman" w:eastAsia="黑体" w:cs="Times New Roman"/>
      <w:b w:val="0"/>
      <w:bCs/>
      <w:sz w:val="28"/>
      <w:szCs w:val="32"/>
    </w:rPr>
  </w:style>
  <w:style w:type="paragraph" w:customStyle="1" w:styleId="24">
    <w:name w:val="004"/>
    <w:basedOn w:val="8"/>
    <w:next w:val="1"/>
    <w:qFormat/>
    <w:uiPriority w:val="0"/>
    <w:pPr>
      <w:numPr>
        <w:ilvl w:val="0"/>
        <w:numId w:val="3"/>
      </w:numPr>
      <w:tabs>
        <w:tab w:val="left" w:pos="460"/>
        <w:tab w:val="left" w:pos="900"/>
      </w:tabs>
      <w:spacing w:before="50" w:beforeLines="50" w:line="240" w:lineRule="auto"/>
      <w:ind w:left="0" w:leftChars="0" w:firstLine="480" w:firstLineChars="150"/>
      <w:jc w:val="left"/>
    </w:pPr>
    <w:rPr>
      <w:rFonts w:ascii="Times New Roman" w:hAnsi="Times New Roman" w:cs="Times New Roman"/>
      <w:b w:val="0"/>
      <w:bCs/>
      <w:szCs w:val="28"/>
    </w:rPr>
  </w:style>
  <w:style w:type="paragraph" w:customStyle="1" w:styleId="25">
    <w:name w:val="005"/>
    <w:basedOn w:val="9"/>
    <w:next w:val="1"/>
    <w:qFormat/>
    <w:uiPriority w:val="0"/>
    <w:pPr>
      <w:numPr>
        <w:ilvl w:val="0"/>
        <w:numId w:val="4"/>
      </w:numPr>
      <w:tabs>
        <w:tab w:val="left" w:pos="284"/>
        <w:tab w:val="left" w:pos="426"/>
      </w:tabs>
      <w:spacing w:before="50" w:line="240" w:lineRule="auto"/>
      <w:ind w:left="542" w:leftChars="59" w:firstLine="403"/>
      <w:outlineLvl w:val="9"/>
    </w:pPr>
    <w:rPr>
      <w:rFonts w:ascii="黑体" w:hAnsi="黑体" w:eastAsia="黑体" w:cs="Times New Roman"/>
      <w:b w:val="0"/>
      <w:bCs/>
      <w:sz w:val="28"/>
      <w:szCs w:val="28"/>
    </w:rPr>
  </w:style>
  <w:style w:type="paragraph" w:customStyle="1" w:styleId="26">
    <w:name w:val="006"/>
    <w:basedOn w:val="10"/>
    <w:next w:val="1"/>
    <w:qFormat/>
    <w:uiPriority w:val="0"/>
    <w:pPr>
      <w:numPr>
        <w:ilvl w:val="0"/>
        <w:numId w:val="5"/>
      </w:numPr>
      <w:tabs>
        <w:tab w:val="left" w:pos="0"/>
        <w:tab w:val="left" w:pos="480"/>
      </w:tabs>
      <w:spacing w:before="50" w:beforeLines="50" w:line="240" w:lineRule="auto"/>
      <w:ind w:left="-425" w:leftChars="0" w:firstLine="0" w:firstLineChars="0"/>
      <w:outlineLvl w:val="9"/>
    </w:pPr>
    <w:rPr>
      <w:rFonts w:ascii="黑体" w:hAnsi="黑体" w:eastAsia="黑体" w:cs="Times New Roman"/>
      <w:bCs/>
      <w:sz w:val="28"/>
      <w:szCs w:val="28"/>
    </w:rPr>
  </w:style>
  <w:style w:type="paragraph" w:customStyle="1" w:styleId="27">
    <w:name w:val="002"/>
    <w:basedOn w:val="6"/>
    <w:next w:val="1"/>
    <w:qFormat/>
    <w:uiPriority w:val="0"/>
    <w:pPr>
      <w:numPr>
        <w:ilvl w:val="1"/>
        <w:numId w:val="6"/>
      </w:numPr>
      <w:spacing w:before="100" w:beforeLines="100" w:after="100" w:afterLines="100" w:line="240" w:lineRule="auto"/>
    </w:pPr>
    <w:rPr>
      <w:rFonts w:ascii="Times New Roman" w:hAnsi="Times New Roman" w:cs="Times New Roman"/>
      <w:b w:val="0"/>
      <w:bCs/>
      <w:sz w:val="32"/>
      <w:szCs w:val="32"/>
    </w:rPr>
  </w:style>
  <w:style w:type="paragraph" w:customStyle="1" w:styleId="28">
    <w:name w:val="标题3new"/>
    <w:basedOn w:val="1"/>
    <w:qFormat/>
    <w:uiPriority w:val="0"/>
    <w:pPr>
      <w:numPr>
        <w:ilvl w:val="2"/>
        <w:numId w:val="1"/>
      </w:numPr>
    </w:pPr>
  </w:style>
  <w:style w:type="paragraph" w:customStyle="1" w:styleId="29">
    <w:name w:val="111"/>
    <w:basedOn w:val="1"/>
    <w:link w:val="31"/>
    <w:qFormat/>
    <w:uiPriority w:val="0"/>
    <w:pPr>
      <w:spacing w:before="50" w:beforeLines="50" w:line="440" w:lineRule="exact"/>
      <w:ind w:firstLine="640" w:firstLineChars="200"/>
    </w:pPr>
    <w:rPr>
      <w:rFonts w:ascii="Times New Roman" w:hAnsi="Times New Roman" w:eastAsia="仿宋" w:cs="Times New Roman"/>
      <w:sz w:val="28"/>
      <w:szCs w:val="28"/>
    </w:rPr>
  </w:style>
  <w:style w:type="paragraph" w:customStyle="1" w:styleId="30">
    <w:name w:val="000"/>
    <w:basedOn w:val="1"/>
    <w:next w:val="1"/>
    <w:qFormat/>
    <w:uiPriority w:val="0"/>
    <w:pPr>
      <w:spacing w:before="50" w:beforeLines="50" w:line="440" w:lineRule="exact"/>
      <w:ind w:firstLine="560"/>
    </w:pPr>
    <w:rPr>
      <w:rFonts w:ascii="Times New Roman" w:hAnsi="Times New Roman" w:eastAsia="仿宋" w:cs="Times New Roman"/>
      <w:bCs/>
      <w:sz w:val="28"/>
      <w:szCs w:val="28"/>
    </w:rPr>
  </w:style>
  <w:style w:type="character" w:customStyle="1" w:styleId="31">
    <w:name w:val="111 Char"/>
    <w:link w:val="29"/>
    <w:qFormat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32">
    <w:name w:val="005a"/>
    <w:basedOn w:val="1"/>
    <w:qFormat/>
    <w:uiPriority w:val="0"/>
    <w:pPr>
      <w:keepNext/>
      <w:keepLines/>
      <w:numPr>
        <w:ilvl w:val="0"/>
        <w:numId w:val="7"/>
      </w:numPr>
      <w:tabs>
        <w:tab w:val="left" w:pos="284"/>
        <w:tab w:val="left" w:pos="426"/>
      </w:tabs>
      <w:spacing w:before="50" w:beforeLines="50"/>
      <w:ind w:left="124" w:leftChars="59" w:firstLine="456"/>
      <w:outlineLvl w:val="4"/>
    </w:pPr>
    <w:rPr>
      <w:rFonts w:ascii="黑体" w:hAnsi="黑体" w:eastAsia="黑体" w:cs="Times New Roman"/>
      <w:bCs/>
      <w:sz w:val="28"/>
      <w:szCs w:val="28"/>
    </w:rPr>
  </w:style>
  <w:style w:type="paragraph" w:customStyle="1" w:styleId="33">
    <w:name w:val="006a"/>
    <w:basedOn w:val="1"/>
    <w:qFormat/>
    <w:uiPriority w:val="0"/>
    <w:pPr>
      <w:keepNext/>
      <w:keepLines/>
      <w:numPr>
        <w:ilvl w:val="0"/>
        <w:numId w:val="8"/>
      </w:numPr>
      <w:tabs>
        <w:tab w:val="left" w:pos="0"/>
        <w:tab w:val="left" w:pos="1100"/>
      </w:tabs>
      <w:spacing w:before="50" w:beforeLines="50" w:after="64"/>
      <w:ind w:left="657" w:leftChars="257" w:hanging="117" w:hangingChars="42"/>
    </w:pPr>
    <w:rPr>
      <w:rFonts w:ascii="黑体" w:hAnsi="黑体" w:eastAsia="黑体" w:cs="Times New Roman"/>
      <w:bCs/>
      <w:sz w:val="28"/>
      <w:szCs w:val="28"/>
    </w:rPr>
  </w:style>
  <w:style w:type="paragraph" w:customStyle="1" w:styleId="34">
    <w:name w:val="006b"/>
    <w:basedOn w:val="1"/>
    <w:qFormat/>
    <w:uiPriority w:val="0"/>
    <w:pPr>
      <w:keepNext/>
      <w:keepLines/>
      <w:numPr>
        <w:ilvl w:val="0"/>
        <w:numId w:val="9"/>
      </w:numPr>
      <w:tabs>
        <w:tab w:val="left" w:pos="0"/>
        <w:tab w:val="left" w:pos="1100"/>
      </w:tabs>
      <w:spacing w:before="50" w:beforeLines="50" w:after="64"/>
      <w:ind w:left="657" w:leftChars="257" w:hanging="117" w:hangingChars="42"/>
      <w:outlineLvl w:val="5"/>
    </w:pPr>
    <w:rPr>
      <w:rFonts w:ascii="黑体" w:hAnsi="黑体" w:eastAsia="黑体" w:cs="Times New Roman"/>
      <w:bCs/>
      <w:sz w:val="28"/>
      <w:szCs w:val="28"/>
    </w:rPr>
  </w:style>
  <w:style w:type="paragraph" w:customStyle="1" w:styleId="35">
    <w:name w:val="0002"/>
    <w:basedOn w:val="6"/>
    <w:next w:val="1"/>
    <w:qFormat/>
    <w:uiPriority w:val="0"/>
    <w:pPr>
      <w:spacing w:before="100" w:beforeLines="100" w:after="100" w:afterLines="100" w:line="240" w:lineRule="auto"/>
    </w:pPr>
    <w:rPr>
      <w:rFonts w:ascii="Times New Roman" w:hAnsi="Times New Roman" w:cs="Times New Roman"/>
      <w:b w:val="0"/>
      <w:bCs/>
      <w:sz w:val="32"/>
      <w:szCs w:val="32"/>
    </w:rPr>
  </w:style>
  <w:style w:type="paragraph" w:customStyle="1" w:styleId="36">
    <w:name w:val="333"/>
    <w:basedOn w:val="1"/>
    <w:next w:val="1"/>
    <w:qFormat/>
    <w:uiPriority w:val="0"/>
    <w:pPr>
      <w:keepNext/>
      <w:keepLines/>
      <w:pBdr>
        <w:bottom w:val="single" w:color="auto" w:sz="4" w:space="0"/>
      </w:pBdr>
      <w:spacing w:before="50" w:beforeLines="50" w:afterLines="0"/>
      <w:jc w:val="center"/>
      <w:outlineLvl w:val="1"/>
    </w:pPr>
    <w:rPr>
      <w:rFonts w:hint="eastAsia" w:ascii="楷体" w:hAnsi="楷体" w:eastAsia="楷体" w:cs="楷体"/>
      <w:bCs/>
      <w:szCs w:val="21"/>
    </w:rPr>
  </w:style>
  <w:style w:type="paragraph" w:customStyle="1" w:styleId="37">
    <w:name w:val="333a"/>
    <w:basedOn w:val="1"/>
    <w:qFormat/>
    <w:uiPriority w:val="0"/>
    <w:pPr>
      <w:pBdr>
        <w:bottom w:val="thinThickSmallGap" w:color="auto" w:sz="12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  <w:jc w:val="center"/>
    </w:pPr>
    <w:rPr>
      <w:rFonts w:hint="eastAsia" w:ascii="楷体" w:hAnsi="楷体" w:eastAsia="楷体"/>
      <w:sz w:val="21"/>
      <w:szCs w:val="21"/>
    </w:rPr>
  </w:style>
  <w:style w:type="paragraph" w:customStyle="1" w:styleId="38">
    <w:name w:val="图标题 alt 1"/>
    <w:basedOn w:val="16"/>
    <w:qFormat/>
    <w:uiPriority w:val="0"/>
    <w:pPr>
      <w:adjustRightInd w:val="0"/>
      <w:snapToGrid w:val="0"/>
      <w:spacing w:before="50" w:beforeLines="50" w:after="50" w:afterLines="50" w:line="440" w:lineRule="atLeast"/>
      <w:jc w:val="center"/>
      <w:textAlignment w:val="baseline"/>
      <w:outlineLvl w:val="8"/>
    </w:pPr>
    <w:rPr>
      <w:rFonts w:ascii="黑体" w:hAnsi="黑体" w:eastAsia="黑体" w:cs="Times New Roman"/>
      <w:kern w:val="0"/>
      <w:sz w:val="24"/>
      <w:szCs w:val="24"/>
    </w:rPr>
  </w:style>
  <w:style w:type="paragraph" w:customStyle="1" w:styleId="39">
    <w:name w:val="排版样式"/>
    <w:qFormat/>
    <w:uiPriority w:val="0"/>
    <w:pPr>
      <w:widowControl/>
      <w:shd w:val="clear" w:color="auto" w:fill="FFFFFF"/>
      <w:overflowPunct w:val="0"/>
      <w:spacing w:line="360" w:lineRule="auto"/>
      <w:ind w:firstLine="200" w:firstLineChars="200"/>
      <w:jc w:val="both"/>
    </w:pPr>
    <w:rPr>
      <w:rFonts w:ascii="宋体" w:hAnsi="宋体" w:eastAsia="仿宋" w:cs="Times New Roman"/>
      <w:color w:val="282828"/>
      <w:kern w:val="0"/>
      <w:sz w:val="28"/>
      <w:szCs w:val="28"/>
      <w:lang w:val="en-US" w:eastAsia="zh-CN" w:bidi="ar-SA"/>
    </w:rPr>
  </w:style>
  <w:style w:type="paragraph" w:customStyle="1" w:styleId="40">
    <w:name w:val="111 正文 alt Z"/>
    <w:basedOn w:val="1"/>
    <w:qFormat/>
    <w:uiPriority w:val="0"/>
    <w:pPr>
      <w:spacing w:before="50" w:beforeLines="50" w:line="440" w:lineRule="exact"/>
      <w:ind w:firstLine="640" w:firstLineChars="200"/>
    </w:pPr>
    <w:rPr>
      <w:rFonts w:ascii="Times New Roman" w:hAnsi="Times New Roman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15221</Words>
  <Characters>16402</Characters>
  <Lines>0</Lines>
  <Paragraphs>0</Paragraphs>
  <TotalTime>10</TotalTime>
  <ScaleCrop>false</ScaleCrop>
  <LinksUpToDate>false</LinksUpToDate>
  <CharactersWithSpaces>16801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2021-06-14T21:49:00Z</dcterms:created>
  <dc:creator>kang</dc:creator>
  <cp:lastModifiedBy>康玉芬</cp:lastModifiedBy>
  <dcterms:modified xsi:type="dcterms:W3CDTF">2023-05-31T09:42:12Z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C61B48CAEE58401C9675AF607363185B</vt:lpwstr>
  </property>
</Properties>
</file>