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0" w:firstLineChars="0"/>
        <w:jc w:val="center"/>
        <w:rPr>
          <w:rFonts w:ascii="仿宋_GB2312"/>
          <w:b/>
          <w:bCs/>
          <w:sz w:val="36"/>
          <w:szCs w:val="28"/>
        </w:rPr>
      </w:pPr>
      <w:bookmarkStart w:id="28" w:name="_GoBack"/>
      <w:bookmarkEnd w:id="28"/>
    </w:p>
    <w:p>
      <w:pPr>
        <w:spacing w:after="312" w:afterLines="100"/>
        <w:ind w:firstLine="0" w:firstLineChars="0"/>
        <w:jc w:val="center"/>
        <w:rPr>
          <w:rFonts w:ascii="仿宋_GB2312"/>
          <w:b/>
          <w:bCs/>
          <w:sz w:val="36"/>
          <w:szCs w:val="28"/>
        </w:rPr>
      </w:pPr>
    </w:p>
    <w:p>
      <w:pPr>
        <w:spacing w:after="312" w:afterLines="100"/>
        <w:ind w:firstLine="0" w:firstLineChars="0"/>
        <w:jc w:val="center"/>
        <w:rPr>
          <w:rFonts w:ascii="仿宋_GB2312"/>
          <w:b/>
          <w:bCs/>
          <w:sz w:val="48"/>
          <w:szCs w:val="40"/>
        </w:rPr>
      </w:pPr>
      <w:r>
        <w:rPr>
          <w:rFonts w:hint="eastAsia" w:ascii="仿宋_GB2312"/>
          <w:b/>
          <w:bCs/>
          <w:sz w:val="48"/>
          <w:szCs w:val="40"/>
        </w:rPr>
        <w:t>中山市零散工业废水管理工作指引</w:t>
      </w: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ind w:firstLine="0" w:firstLineChars="0"/>
        <w:jc w:val="center"/>
        <w:rPr>
          <w:b/>
          <w:bCs/>
          <w:szCs w:val="28"/>
        </w:rPr>
      </w:pPr>
      <w:r>
        <w:rPr>
          <w:b/>
          <w:bCs/>
          <w:szCs w:val="28"/>
        </w:rPr>
        <w:t>中山市生态环境局</w:t>
      </w:r>
    </w:p>
    <w:p>
      <w:pPr>
        <w:ind w:firstLine="0" w:firstLineChars="0"/>
        <w:jc w:val="center"/>
        <w:rPr>
          <w:b/>
          <w:bCs/>
          <w:szCs w:val="28"/>
        </w:rPr>
      </w:pPr>
      <w:r>
        <w:rPr>
          <w:b/>
          <w:bCs/>
          <w:szCs w:val="28"/>
        </w:rPr>
        <w:t>2023年</w:t>
      </w:r>
      <w:r>
        <w:rPr>
          <w:rFonts w:hint="eastAsia"/>
          <w:b/>
          <w:bCs/>
          <w:szCs w:val="28"/>
          <w:lang w:val="en-US" w:eastAsia="zh-CN"/>
        </w:rPr>
        <w:t>6</w:t>
      </w:r>
      <w:r>
        <w:rPr>
          <w:b/>
          <w:bCs/>
          <w:szCs w:val="28"/>
        </w:rPr>
        <w:t>月</w:t>
      </w: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cols w:space="425" w:num="1"/>
          <w:docGrid w:type="lines" w:linePitch="312" w:charSpace="0"/>
        </w:sectPr>
      </w:pPr>
    </w:p>
    <w:sdt>
      <w:sdtPr>
        <w:rPr>
          <w:rFonts w:ascii="Times New Roman" w:hAnsi="Times New Roman" w:eastAsia="仿宋_GB2312" w:cs="Times New Roman"/>
          <w:color w:val="auto"/>
          <w:kern w:val="2"/>
          <w:sz w:val="28"/>
          <w:szCs w:val="21"/>
          <w:lang w:val="zh-CN"/>
        </w:rPr>
        <w:id w:val="-525949424"/>
        <w:docPartObj>
          <w:docPartGallery w:val="Table of Contents"/>
          <w:docPartUnique/>
        </w:docPartObj>
      </w:sdtPr>
      <w:sdtEndPr>
        <w:rPr>
          <w:rFonts w:ascii="Times New Roman" w:hAnsi="Times New Roman" w:eastAsia="仿宋_GB2312" w:cs="Times New Roman"/>
          <w:b/>
          <w:bCs/>
          <w:color w:val="auto"/>
          <w:kern w:val="2"/>
          <w:sz w:val="28"/>
          <w:szCs w:val="21"/>
          <w:lang w:val="zh-CN"/>
        </w:rPr>
      </w:sdtEndPr>
      <w:sdtContent>
        <w:p>
          <w:pPr>
            <w:pStyle w:val="3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lang w:val="zh-CN"/>
              <w14:textFill>
                <w14:solidFill>
                  <w14:schemeClr w14:val="tx1"/>
                </w14:solidFill>
              </w14:textFill>
            </w:rPr>
            <w:t>目</w:t>
          </w:r>
          <w:r>
            <w:rPr>
              <w:rFonts w:hint="eastAsia" w:ascii="黑体" w:hAnsi="黑体" w:eastAsia="黑体"/>
              <w:color w:val="000000" w:themeColor="text1"/>
              <w:lang w:val="zh-CN"/>
              <w14:textFill>
                <w14:solidFill>
                  <w14:schemeClr w14:val="tx1"/>
                </w14:solidFill>
              </w14:textFill>
            </w:rPr>
            <w:t xml:space="preserve"> </w:t>
          </w:r>
          <w:r>
            <w:rPr>
              <w:rFonts w:ascii="黑体" w:hAnsi="黑体" w:eastAsia="黑体"/>
              <w:color w:val="000000" w:themeColor="text1"/>
              <w:lang w:val="zh-CN"/>
              <w14:textFill>
                <w14:solidFill>
                  <w14:schemeClr w14:val="tx1"/>
                </w14:solidFill>
              </w14:textFill>
            </w:rPr>
            <w:t>录</w:t>
          </w:r>
        </w:p>
        <w:p>
          <w:pPr>
            <w:pStyle w:val="14"/>
            <w:rPr>
              <w:rFonts w:asciiTheme="minorHAnsi" w:hAnsiTheme="minorHAnsi" w:eastAsiaTheme="minorEastAsia" w:cstheme="minorBidi"/>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"_Toc136254205" </w:instrText>
          </w:r>
          <w:r>
            <w:fldChar w:fldCharType="separate"/>
          </w:r>
          <w:r>
            <w:rPr>
              <w:rStyle w:val="19"/>
            </w:rPr>
            <w:t>一、总则</w:t>
          </w:r>
          <w:r>
            <w:tab/>
          </w:r>
          <w:r>
            <w:fldChar w:fldCharType="begin"/>
          </w:r>
          <w:r>
            <w:instrText xml:space="preserve"> PAGEREF _Toc136254205 \h </w:instrText>
          </w:r>
          <w:r>
            <w:fldChar w:fldCharType="separate"/>
          </w:r>
          <w:r>
            <w:t>1</w:t>
          </w:r>
          <w:r>
            <w:fldChar w:fldCharType="end"/>
          </w:r>
          <w: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"_Toc136254206" </w:instrText>
          </w:r>
          <w:r>
            <w:fldChar w:fldCharType="separate"/>
          </w:r>
          <w:r>
            <w:rPr>
              <w:rStyle w:val="19"/>
            </w:rPr>
            <w:t>1.1 编制目的</w:t>
          </w:r>
          <w:r>
            <w:tab/>
          </w:r>
          <w:r>
            <w:fldChar w:fldCharType="begin"/>
          </w:r>
          <w:r>
            <w:instrText xml:space="preserve"> PAGEREF _Toc136254206 \h </w:instrText>
          </w:r>
          <w:r>
            <w:fldChar w:fldCharType="separate"/>
          </w:r>
          <w:r>
            <w:t>1</w:t>
          </w:r>
          <w:r>
            <w:fldChar w:fldCharType="end"/>
          </w:r>
          <w: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"_Toc136254207" </w:instrText>
          </w:r>
          <w:r>
            <w:fldChar w:fldCharType="separate"/>
          </w:r>
          <w:r>
            <w:rPr>
              <w:rStyle w:val="19"/>
            </w:rPr>
            <w:t>1.2 适用范围</w:t>
          </w:r>
          <w:r>
            <w:tab/>
          </w:r>
          <w:r>
            <w:fldChar w:fldCharType="begin"/>
          </w:r>
          <w:r>
            <w:instrText xml:space="preserve"> PAGEREF _Toc136254207 \h </w:instrText>
          </w:r>
          <w:r>
            <w:fldChar w:fldCharType="separate"/>
          </w:r>
          <w:r>
            <w:t>1</w:t>
          </w:r>
          <w:r>
            <w:fldChar w:fldCharType="end"/>
          </w:r>
          <w: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"_Toc136254208" </w:instrText>
          </w:r>
          <w:r>
            <w:fldChar w:fldCharType="separate"/>
          </w:r>
          <w:r>
            <w:rPr>
              <w:rStyle w:val="19"/>
            </w:rPr>
            <w:t>1.3 编制依据</w:t>
          </w:r>
          <w:r>
            <w:tab/>
          </w:r>
          <w:r>
            <w:fldChar w:fldCharType="begin"/>
          </w:r>
          <w:r>
            <w:instrText xml:space="preserve"> PAGEREF _Toc136254208 \h </w:instrText>
          </w:r>
          <w:r>
            <w:fldChar w:fldCharType="separate"/>
          </w:r>
          <w:r>
            <w:t>1</w:t>
          </w:r>
          <w:r>
            <w:fldChar w:fldCharType="end"/>
          </w:r>
          <w: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"_Toc136254209" </w:instrText>
          </w:r>
          <w:r>
            <w:fldChar w:fldCharType="separate"/>
          </w:r>
          <w:r>
            <w:rPr>
              <w:rStyle w:val="19"/>
            </w:rPr>
            <w:t>1.4 名词解释</w:t>
          </w:r>
          <w:r>
            <w:tab/>
          </w:r>
          <w:r>
            <w:fldChar w:fldCharType="begin"/>
          </w:r>
          <w:r>
            <w:instrText xml:space="preserve"> PAGEREF _Toc136254209 \h </w:instrText>
          </w:r>
          <w:r>
            <w:fldChar w:fldCharType="separate"/>
          </w:r>
          <w:r>
            <w:t>2</w:t>
          </w:r>
          <w:r>
            <w:fldChar w:fldCharType="end"/>
          </w:r>
          <w: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"_Toc136254210" </w:instrText>
          </w:r>
          <w:r>
            <w:fldChar w:fldCharType="separate"/>
          </w:r>
          <w:r>
            <w:rPr>
              <w:rStyle w:val="19"/>
            </w:rPr>
            <w:t>1.5 其他</w:t>
          </w:r>
          <w:r>
            <w:tab/>
          </w:r>
          <w:r>
            <w:fldChar w:fldCharType="begin"/>
          </w:r>
          <w:r>
            <w:instrText xml:space="preserve"> PAGEREF _Toc136254210 \h </w:instrText>
          </w:r>
          <w:r>
            <w:fldChar w:fldCharType="separate"/>
          </w:r>
          <w:r>
            <w:t>2</w:t>
          </w:r>
          <w:r>
            <w:fldChar w:fldCharType="end"/>
          </w:r>
          <w: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"_Toc136254211" </w:instrText>
          </w:r>
          <w:r>
            <w:fldChar w:fldCharType="separate"/>
          </w:r>
          <w:r>
            <w:rPr>
              <w:rStyle w:val="19"/>
            </w:rPr>
            <w:t>二、收集、储存</w:t>
          </w:r>
          <w:r>
            <w:tab/>
          </w:r>
          <w:r>
            <w:fldChar w:fldCharType="begin"/>
          </w:r>
          <w:r>
            <w:instrText xml:space="preserve"> PAGEREF _Toc136254211 \h </w:instrText>
          </w:r>
          <w:r>
            <w:fldChar w:fldCharType="separate"/>
          </w:r>
          <w:r>
            <w:t>3</w:t>
          </w:r>
          <w:r>
            <w:fldChar w:fldCharType="end"/>
          </w:r>
          <w:r>
            <w:fldChar w:fldCharType="end"/>
          </w:r>
        </w:p>
        <w:p>
          <w:pPr>
            <w:pStyle w:val="15"/>
            <w:tabs>
              <w:tab w:val="right" w:leader="dot" w:pos="9016"/>
            </w:tabs>
            <w:ind w:left="560" w:firstLine="0" w:firstLineChars="0"/>
            <w:rPr>
              <w:rStyle w:val="19"/>
            </w:rPr>
          </w:pPr>
          <w:r>
            <w:fldChar w:fldCharType="begin"/>
          </w:r>
          <w:r>
            <w:instrText xml:space="preserve"> HYPERLINK \l "_Toc136254212" </w:instrText>
          </w:r>
          <w:r>
            <w:fldChar w:fldCharType="separate"/>
          </w:r>
          <w:r>
            <w:rPr>
              <w:rStyle w:val="19"/>
            </w:rPr>
            <w:t>2.1 污染防治要求</w:t>
          </w:r>
          <w:r>
            <w:rPr>
              <w:rStyle w:val="19"/>
            </w:rPr>
            <w:tab/>
          </w:r>
          <w:r>
            <w:rPr>
              <w:rStyle w:val="19"/>
            </w:rPr>
            <w:fldChar w:fldCharType="begin"/>
          </w:r>
          <w:r>
            <w:rPr>
              <w:rStyle w:val="19"/>
            </w:rPr>
            <w:instrText xml:space="preserve"> PAGEREF _Toc136254212 \h </w:instrText>
          </w:r>
          <w:r>
            <w:rPr>
              <w:rStyle w:val="19"/>
            </w:rPr>
            <w:fldChar w:fldCharType="separate"/>
          </w:r>
          <w:r>
            <w:rPr>
              <w:rStyle w:val="19"/>
            </w:rPr>
            <w:t>3</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"_Toc136254213" </w:instrText>
          </w:r>
          <w:r>
            <w:fldChar w:fldCharType="separate"/>
          </w:r>
          <w:r>
            <w:rPr>
              <w:rStyle w:val="19"/>
            </w:rPr>
            <w:t>2.2 管道、储存设施建设要求</w:t>
          </w:r>
          <w:r>
            <w:rPr>
              <w:rStyle w:val="19"/>
            </w:rPr>
            <w:tab/>
          </w:r>
          <w:r>
            <w:rPr>
              <w:rStyle w:val="19"/>
            </w:rPr>
            <w:fldChar w:fldCharType="begin"/>
          </w:r>
          <w:r>
            <w:rPr>
              <w:rStyle w:val="19"/>
            </w:rPr>
            <w:instrText xml:space="preserve"> PAGEREF _Toc136254213 \h </w:instrText>
          </w:r>
          <w:r>
            <w:rPr>
              <w:rStyle w:val="19"/>
            </w:rPr>
            <w:fldChar w:fldCharType="separate"/>
          </w:r>
          <w:r>
            <w:rPr>
              <w:rStyle w:val="19"/>
            </w:rPr>
            <w:t>3</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"_Toc136254214" </w:instrText>
          </w:r>
          <w:r>
            <w:fldChar w:fldCharType="separate"/>
          </w:r>
          <w:r>
            <w:rPr>
              <w:rStyle w:val="19"/>
            </w:rPr>
            <w:t>2.3 计量设备安装要求</w:t>
          </w:r>
          <w:r>
            <w:rPr>
              <w:rStyle w:val="19"/>
            </w:rPr>
            <w:tab/>
          </w:r>
          <w:r>
            <w:rPr>
              <w:rStyle w:val="19"/>
            </w:rPr>
            <w:fldChar w:fldCharType="begin"/>
          </w:r>
          <w:r>
            <w:rPr>
              <w:rStyle w:val="19"/>
            </w:rPr>
            <w:instrText xml:space="preserve"> PAGEREF _Toc136254214 \h </w:instrText>
          </w:r>
          <w:r>
            <w:rPr>
              <w:rStyle w:val="19"/>
            </w:rPr>
            <w:fldChar w:fldCharType="separate"/>
          </w:r>
          <w:r>
            <w:rPr>
              <w:rStyle w:val="19"/>
            </w:rPr>
            <w:t>3</w:t>
          </w:r>
          <w:r>
            <w:rPr>
              <w:rStyle w:val="19"/>
            </w:rPr>
            <w:fldChar w:fldCharType="end"/>
          </w:r>
          <w:r>
            <w:rPr>
              <w:rStyle w:val="19"/>
            </w:rP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"_Toc136254215" </w:instrText>
          </w:r>
          <w:r>
            <w:fldChar w:fldCharType="separate"/>
          </w:r>
          <w:r>
            <w:rPr>
              <w:rStyle w:val="19"/>
            </w:rPr>
            <w:t>2.4 废水储存管理要求</w:t>
          </w:r>
          <w:r>
            <w:rPr>
              <w:rStyle w:val="19"/>
            </w:rPr>
            <w:tab/>
          </w:r>
          <w:r>
            <w:rPr>
              <w:rStyle w:val="19"/>
            </w:rPr>
            <w:fldChar w:fldCharType="begin"/>
          </w:r>
          <w:r>
            <w:rPr>
              <w:rStyle w:val="19"/>
            </w:rPr>
            <w:instrText xml:space="preserve"> PAGEREF _Toc136254215 \h </w:instrText>
          </w:r>
          <w:r>
            <w:rPr>
              <w:rStyle w:val="19"/>
            </w:rPr>
            <w:fldChar w:fldCharType="separate"/>
          </w:r>
          <w:r>
            <w:rPr>
              <w:rStyle w:val="19"/>
            </w:rPr>
            <w:t>4</w:t>
          </w:r>
          <w:r>
            <w:rPr>
              <w:rStyle w:val="19"/>
            </w:rPr>
            <w:fldChar w:fldCharType="end"/>
          </w:r>
          <w:r>
            <w:rPr>
              <w:rStyle w:val="19"/>
            </w:rP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"_Toc136254216" </w:instrText>
          </w:r>
          <w:r>
            <w:fldChar w:fldCharType="separate"/>
          </w:r>
          <w:r>
            <w:rPr>
              <w:rStyle w:val="19"/>
            </w:rPr>
            <w:t>三、运输、处理</w:t>
          </w:r>
          <w:r>
            <w:tab/>
          </w:r>
          <w:r>
            <w:fldChar w:fldCharType="begin"/>
          </w:r>
          <w:r>
            <w:instrText xml:space="preserve"> PAGEREF _Toc136254216 \h </w:instrText>
          </w:r>
          <w:r>
            <w:fldChar w:fldCharType="separate"/>
          </w:r>
          <w:r>
            <w:t>5</w:t>
          </w:r>
          <w:r>
            <w:fldChar w:fldCharType="end"/>
          </w:r>
          <w:r>
            <w:fldChar w:fldCharType="end"/>
          </w:r>
        </w:p>
        <w:p>
          <w:pPr>
            <w:pStyle w:val="15"/>
            <w:tabs>
              <w:tab w:val="right" w:leader="dot" w:pos="9016"/>
            </w:tabs>
            <w:ind w:left="560" w:firstLine="0" w:firstLineChars="0"/>
            <w:rPr>
              <w:rStyle w:val="19"/>
            </w:rPr>
          </w:pPr>
          <w:r>
            <w:fldChar w:fldCharType="begin"/>
          </w:r>
          <w:r>
            <w:instrText xml:space="preserve"> HYPERLINK \l "_Toc136254217" </w:instrText>
          </w:r>
          <w:r>
            <w:fldChar w:fldCharType="separate"/>
          </w:r>
          <w:r>
            <w:rPr>
              <w:rStyle w:val="19"/>
            </w:rPr>
            <w:t>3.1 接收单位环保手续要求</w:t>
          </w:r>
          <w:r>
            <w:rPr>
              <w:rStyle w:val="19"/>
            </w:rPr>
            <w:tab/>
          </w:r>
          <w:r>
            <w:rPr>
              <w:rStyle w:val="19"/>
            </w:rPr>
            <w:fldChar w:fldCharType="begin"/>
          </w:r>
          <w:r>
            <w:rPr>
              <w:rStyle w:val="19"/>
            </w:rPr>
            <w:instrText xml:space="preserve"> PAGEREF _Toc136254217 \h </w:instrText>
          </w:r>
          <w:r>
            <w:rPr>
              <w:rStyle w:val="19"/>
            </w:rPr>
            <w:fldChar w:fldCharType="separate"/>
          </w:r>
          <w:r>
            <w:rPr>
              <w:rStyle w:val="19"/>
            </w:rPr>
            <w:t>5</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"_Toc136254218" </w:instrText>
          </w:r>
          <w:r>
            <w:fldChar w:fldCharType="separate"/>
          </w:r>
          <w:r>
            <w:rPr>
              <w:rStyle w:val="19"/>
            </w:rPr>
            <w:t>3.2 车辆运输要求</w:t>
          </w:r>
          <w:r>
            <w:rPr>
              <w:rStyle w:val="19"/>
            </w:rPr>
            <w:tab/>
          </w:r>
          <w:r>
            <w:rPr>
              <w:rStyle w:val="19"/>
            </w:rPr>
            <w:fldChar w:fldCharType="begin"/>
          </w:r>
          <w:r>
            <w:rPr>
              <w:rStyle w:val="19"/>
            </w:rPr>
            <w:instrText xml:space="preserve"> PAGEREF _Toc136254218 \h </w:instrText>
          </w:r>
          <w:r>
            <w:rPr>
              <w:rStyle w:val="19"/>
            </w:rPr>
            <w:fldChar w:fldCharType="separate"/>
          </w:r>
          <w:r>
            <w:rPr>
              <w:rStyle w:val="19"/>
            </w:rPr>
            <w:t>5</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"_Toc136254219" </w:instrText>
          </w:r>
          <w:r>
            <w:fldChar w:fldCharType="separate"/>
          </w:r>
          <w:r>
            <w:rPr>
              <w:rStyle w:val="19"/>
            </w:rPr>
            <w:t>3.3 废水准入要求</w:t>
          </w:r>
          <w:r>
            <w:rPr>
              <w:rStyle w:val="19"/>
            </w:rPr>
            <w:tab/>
          </w:r>
          <w:r>
            <w:rPr>
              <w:rStyle w:val="19"/>
            </w:rPr>
            <w:fldChar w:fldCharType="begin"/>
          </w:r>
          <w:r>
            <w:rPr>
              <w:rStyle w:val="19"/>
            </w:rPr>
            <w:instrText xml:space="preserve"> PAGEREF _Toc136254219 \h </w:instrText>
          </w:r>
          <w:r>
            <w:rPr>
              <w:rStyle w:val="19"/>
            </w:rPr>
            <w:fldChar w:fldCharType="separate"/>
          </w:r>
          <w:r>
            <w:rPr>
              <w:rStyle w:val="19"/>
            </w:rPr>
            <w:t>5</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"_Toc136254220" </w:instrText>
          </w:r>
          <w:r>
            <w:fldChar w:fldCharType="separate"/>
          </w:r>
          <w:r>
            <w:rPr>
              <w:rStyle w:val="19"/>
            </w:rPr>
            <w:t>3.4 监测设备安装要求</w:t>
          </w:r>
          <w:r>
            <w:rPr>
              <w:rStyle w:val="19"/>
            </w:rPr>
            <w:tab/>
          </w:r>
          <w:r>
            <w:rPr>
              <w:rStyle w:val="19"/>
            </w:rPr>
            <w:fldChar w:fldCharType="begin"/>
          </w:r>
          <w:r>
            <w:rPr>
              <w:rStyle w:val="19"/>
            </w:rPr>
            <w:instrText xml:space="preserve"> PAGEREF _Toc136254220 \h </w:instrText>
          </w:r>
          <w:r>
            <w:rPr>
              <w:rStyle w:val="19"/>
            </w:rPr>
            <w:fldChar w:fldCharType="separate"/>
          </w:r>
          <w:r>
            <w:rPr>
              <w:rStyle w:val="19"/>
            </w:rPr>
            <w:t>6</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"_Toc136254221" </w:instrText>
          </w:r>
          <w:r>
            <w:fldChar w:fldCharType="separate"/>
          </w:r>
          <w:r>
            <w:rPr>
              <w:rStyle w:val="19"/>
            </w:rPr>
            <w:t>3.5 污泥处理处置要求</w:t>
          </w:r>
          <w:r>
            <w:rPr>
              <w:rStyle w:val="19"/>
            </w:rPr>
            <w:tab/>
          </w:r>
          <w:r>
            <w:rPr>
              <w:rStyle w:val="19"/>
            </w:rPr>
            <w:fldChar w:fldCharType="begin"/>
          </w:r>
          <w:r>
            <w:rPr>
              <w:rStyle w:val="19"/>
            </w:rPr>
            <w:instrText xml:space="preserve"> PAGEREF _Toc136254221 \h </w:instrText>
          </w:r>
          <w:r>
            <w:rPr>
              <w:rStyle w:val="19"/>
            </w:rPr>
            <w:fldChar w:fldCharType="separate"/>
          </w:r>
          <w:r>
            <w:rPr>
              <w:rStyle w:val="19"/>
            </w:rPr>
            <w:t>6</w:t>
          </w:r>
          <w:r>
            <w:rPr>
              <w:rStyle w:val="19"/>
            </w:rPr>
            <w:fldChar w:fldCharType="end"/>
          </w:r>
          <w:r>
            <w:rPr>
              <w:rStyle w:val="19"/>
            </w:rP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"_Toc136254222" </w:instrText>
          </w:r>
          <w:r>
            <w:fldChar w:fldCharType="separate"/>
          </w:r>
          <w:r>
            <w:rPr>
              <w:rStyle w:val="19"/>
            </w:rPr>
            <w:t>3.6 废水达标排放要求</w:t>
          </w:r>
          <w:r>
            <w:rPr>
              <w:rStyle w:val="19"/>
            </w:rPr>
            <w:tab/>
          </w:r>
          <w:r>
            <w:rPr>
              <w:rStyle w:val="19"/>
            </w:rPr>
            <w:fldChar w:fldCharType="begin"/>
          </w:r>
          <w:r>
            <w:rPr>
              <w:rStyle w:val="19"/>
            </w:rPr>
            <w:instrText xml:space="preserve"> PAGEREF _Toc136254222 \h </w:instrText>
          </w:r>
          <w:r>
            <w:rPr>
              <w:rStyle w:val="19"/>
            </w:rPr>
            <w:fldChar w:fldCharType="separate"/>
          </w:r>
          <w:r>
            <w:rPr>
              <w:rStyle w:val="19"/>
            </w:rPr>
            <w:t>7</w:t>
          </w:r>
          <w:r>
            <w:rPr>
              <w:rStyle w:val="19"/>
            </w:rPr>
            <w:fldChar w:fldCharType="end"/>
          </w:r>
          <w:r>
            <w:rPr>
              <w:rStyle w:val="19"/>
            </w:rP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"_Toc136254223" </w:instrText>
          </w:r>
          <w:r>
            <w:fldChar w:fldCharType="separate"/>
          </w:r>
          <w:r>
            <w:rPr>
              <w:rStyle w:val="19"/>
            </w:rPr>
            <w:t>四、台账、联单管理</w:t>
          </w:r>
          <w:r>
            <w:tab/>
          </w:r>
          <w:r>
            <w:fldChar w:fldCharType="begin"/>
          </w:r>
          <w:r>
            <w:instrText xml:space="preserve"> PAGEREF _Toc136254223 \h </w:instrText>
          </w:r>
          <w:r>
            <w:fldChar w:fldCharType="separate"/>
          </w:r>
          <w:r>
            <w:t>8</w:t>
          </w:r>
          <w:r>
            <w:fldChar w:fldCharType="end"/>
          </w:r>
          <w:r>
            <w:fldChar w:fldCharType="end"/>
          </w:r>
        </w:p>
        <w:p>
          <w:pPr>
            <w:pStyle w:val="15"/>
            <w:tabs>
              <w:tab w:val="right" w:leader="dot" w:pos="9016"/>
            </w:tabs>
            <w:ind w:left="560" w:firstLine="0" w:firstLineChars="0"/>
            <w:rPr>
              <w:rStyle w:val="19"/>
            </w:rPr>
          </w:pPr>
          <w:r>
            <w:fldChar w:fldCharType="begin"/>
          </w:r>
          <w:r>
            <w:instrText xml:space="preserve"> HYPERLINK \l "_Toc136254224" </w:instrText>
          </w:r>
          <w:r>
            <w:fldChar w:fldCharType="separate"/>
          </w:r>
          <w:r>
            <w:rPr>
              <w:rStyle w:val="19"/>
            </w:rPr>
            <w:t>4.1 转移联单管理制度</w:t>
          </w:r>
          <w:r>
            <w:rPr>
              <w:rStyle w:val="19"/>
            </w:rPr>
            <w:tab/>
          </w:r>
          <w:r>
            <w:rPr>
              <w:rStyle w:val="19"/>
            </w:rPr>
            <w:fldChar w:fldCharType="begin"/>
          </w:r>
          <w:r>
            <w:rPr>
              <w:rStyle w:val="19"/>
            </w:rPr>
            <w:instrText xml:space="preserve"> PAGEREF _Toc136254224 \h </w:instrText>
          </w:r>
          <w:r>
            <w:rPr>
              <w:rStyle w:val="19"/>
            </w:rPr>
            <w:fldChar w:fldCharType="separate"/>
          </w:r>
          <w:r>
            <w:rPr>
              <w:rStyle w:val="19"/>
            </w:rPr>
            <w:t>8</w:t>
          </w:r>
          <w:r>
            <w:rPr>
              <w:rStyle w:val="19"/>
            </w:rPr>
            <w:fldChar w:fldCharType="end"/>
          </w:r>
          <w:r>
            <w:rPr>
              <w:rStyle w:val="19"/>
            </w:rPr>
            <w:fldChar w:fldCharType="end"/>
          </w:r>
        </w:p>
        <w:p>
          <w:pPr>
            <w:pStyle w:val="15"/>
            <w:tabs>
              <w:tab w:val="right" w:leader="dot" w:pos="9016"/>
            </w:tabs>
            <w:ind w:left="560" w:firstLine="0" w:firstLineChars="0"/>
            <w:rPr>
              <w:rFonts w:asciiTheme="minorHAnsi" w:hAnsiTheme="minorHAnsi" w:eastAsiaTheme="minorEastAsia" w:cstheme="minorBidi"/>
              <w:sz w:val="21"/>
              <w:szCs w:val="22"/>
              <w14:ligatures w14:val="standardContextual"/>
            </w:rPr>
          </w:pPr>
          <w:r>
            <w:fldChar w:fldCharType="begin"/>
          </w:r>
          <w:r>
            <w:instrText xml:space="preserve"> HYPERLINK \l "_Toc136254225" </w:instrText>
          </w:r>
          <w:r>
            <w:fldChar w:fldCharType="separate"/>
          </w:r>
          <w:r>
            <w:rPr>
              <w:rStyle w:val="19"/>
            </w:rPr>
            <w:t>4.2 废水管理台账</w:t>
          </w:r>
          <w:r>
            <w:rPr>
              <w:rStyle w:val="19"/>
            </w:rPr>
            <w:tab/>
          </w:r>
          <w:r>
            <w:rPr>
              <w:rStyle w:val="19"/>
            </w:rPr>
            <w:fldChar w:fldCharType="begin"/>
          </w:r>
          <w:r>
            <w:rPr>
              <w:rStyle w:val="19"/>
            </w:rPr>
            <w:instrText xml:space="preserve"> PAGEREF _Toc136254225 \h </w:instrText>
          </w:r>
          <w:r>
            <w:rPr>
              <w:rStyle w:val="19"/>
            </w:rPr>
            <w:fldChar w:fldCharType="separate"/>
          </w:r>
          <w:r>
            <w:rPr>
              <w:rStyle w:val="19"/>
            </w:rPr>
            <w:t>8</w:t>
          </w:r>
          <w:r>
            <w:rPr>
              <w:rStyle w:val="19"/>
            </w:rPr>
            <w:fldChar w:fldCharType="end"/>
          </w:r>
          <w:r>
            <w:rPr>
              <w:rStyle w:val="19"/>
            </w:rP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"_Toc136254226" </w:instrText>
          </w:r>
          <w:r>
            <w:fldChar w:fldCharType="separate"/>
          </w:r>
          <w:r>
            <w:rPr>
              <w:rStyle w:val="19"/>
            </w:rPr>
            <w:t>五、应急管理</w:t>
          </w:r>
          <w:r>
            <w:tab/>
          </w:r>
          <w:r>
            <w:fldChar w:fldCharType="begin"/>
          </w:r>
          <w:r>
            <w:instrText xml:space="preserve"> PAGEREF _Toc136254226 \h </w:instrText>
          </w:r>
          <w:r>
            <w:fldChar w:fldCharType="separate"/>
          </w:r>
          <w:r>
            <w:t>9</w:t>
          </w:r>
          <w:r>
            <w:fldChar w:fldCharType="end"/>
          </w:r>
          <w: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"_Toc136254227" </w:instrText>
          </w:r>
          <w:r>
            <w:fldChar w:fldCharType="separate"/>
          </w:r>
          <w:r>
            <w:rPr>
              <w:rStyle w:val="19"/>
            </w:rPr>
            <w:t>六、信息报送</w:t>
          </w:r>
          <w:r>
            <w:tab/>
          </w:r>
          <w:r>
            <w:fldChar w:fldCharType="begin"/>
          </w:r>
          <w:r>
            <w:instrText xml:space="preserve"> PAGEREF _Toc136254227 \h </w:instrText>
          </w:r>
          <w:r>
            <w:fldChar w:fldCharType="separate"/>
          </w:r>
          <w:r>
            <w:t>9</w:t>
          </w:r>
          <w:r>
            <w:fldChar w:fldCharType="end"/>
          </w:r>
          <w: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"_Toc136254228" </w:instrText>
          </w:r>
          <w:r>
            <w:fldChar w:fldCharType="separate"/>
          </w:r>
          <w:r>
            <w:rPr>
              <w:rStyle w:val="19"/>
            </w:rPr>
            <w:t>七、监督管理</w:t>
          </w:r>
          <w:r>
            <w:tab/>
          </w:r>
          <w:r>
            <w:fldChar w:fldCharType="begin"/>
          </w:r>
          <w:r>
            <w:instrText xml:space="preserve"> PAGEREF _Toc136254228 \h </w:instrText>
          </w:r>
          <w:r>
            <w:fldChar w:fldCharType="separate"/>
          </w:r>
          <w:r>
            <w:t>10</w:t>
          </w:r>
          <w:r>
            <w:fldChar w:fldCharType="end"/>
          </w:r>
          <w:r>
            <w:fldChar w:fldCharType="end"/>
          </w:r>
        </w:p>
        <w:p>
          <w:pPr>
            <w:pStyle w:val="14"/>
            <w:rPr>
              <w:rFonts w:asciiTheme="minorHAnsi" w:hAnsiTheme="minorHAnsi" w:eastAsiaTheme="minorEastAsia" w:cstheme="minorBidi"/>
              <w:sz w:val="21"/>
              <w:szCs w:val="22"/>
              <w14:ligatures w14:val="standardContextual"/>
            </w:rPr>
          </w:pPr>
          <w:r>
            <w:fldChar w:fldCharType="begin"/>
          </w:r>
          <w:r>
            <w:instrText xml:space="preserve"> HYPERLINK \l "_Toc136254229" </w:instrText>
          </w:r>
          <w:r>
            <w:fldChar w:fldCharType="separate"/>
          </w:r>
          <w:r>
            <w:rPr>
              <w:rStyle w:val="19"/>
            </w:rPr>
            <w:t>八、附件</w:t>
          </w:r>
          <w:r>
            <w:tab/>
          </w:r>
          <w:r>
            <w:fldChar w:fldCharType="begin"/>
          </w:r>
          <w:r>
            <w:instrText xml:space="preserve"> PAGEREF _Toc136254229 \h </w:instrText>
          </w:r>
          <w:r>
            <w:fldChar w:fldCharType="separate"/>
          </w:r>
          <w:r>
            <w:t>12</w:t>
          </w:r>
          <w:r>
            <w:fldChar w:fldCharType="end"/>
          </w:r>
          <w:r>
            <w:fldChar w:fldCharType="end"/>
          </w:r>
        </w:p>
        <w:p>
          <w:pPr>
            <w:pStyle w:val="15"/>
            <w:tabs>
              <w:tab w:val="right" w:leader="dot" w:pos="9016"/>
            </w:tabs>
            <w:ind w:left="560" w:firstLine="0" w:firstLineChars="0"/>
            <w:rPr>
              <w:rStyle w:val="19"/>
            </w:rPr>
          </w:pPr>
          <w:r>
            <w:fldChar w:fldCharType="begin"/>
          </w:r>
          <w:r>
            <w:instrText xml:space="preserve"> HYPERLINK \l "_Toc136254231" </w:instrText>
          </w:r>
          <w:r>
            <w:fldChar w:fldCharType="separate"/>
          </w:r>
          <w:r>
            <w:rPr>
              <w:rStyle w:val="19"/>
            </w:rPr>
            <w:t>附件</w:t>
          </w:r>
          <w:r>
            <w:rPr>
              <w:rStyle w:val="19"/>
              <w:rFonts w:hint="eastAsia"/>
              <w:lang w:val="en-US" w:eastAsia="zh-CN"/>
            </w:rPr>
            <w:t>1</w:t>
          </w:r>
          <w:r>
            <w:rPr>
              <w:rStyle w:val="19"/>
            </w:rPr>
            <w:t xml:space="preserve"> 《零散工业废水转移联单》模板</w:t>
          </w:r>
          <w:r>
            <w:rPr>
              <w:rStyle w:val="19"/>
            </w:rPr>
            <w:tab/>
          </w:r>
          <w:r>
            <w:rPr>
              <w:rStyle w:val="19"/>
            </w:rPr>
            <w:fldChar w:fldCharType="begin"/>
          </w:r>
          <w:r>
            <w:rPr>
              <w:rStyle w:val="19"/>
            </w:rPr>
            <w:instrText xml:space="preserve"> PAGEREF _Toc136254231 \h </w:instrText>
          </w:r>
          <w:r>
            <w:rPr>
              <w:rStyle w:val="19"/>
            </w:rPr>
            <w:fldChar w:fldCharType="separate"/>
          </w:r>
          <w:r>
            <w:rPr>
              <w:rStyle w:val="19"/>
            </w:rPr>
            <w:t>1</w:t>
          </w:r>
          <w:r>
            <w:rPr>
              <w:rStyle w:val="19"/>
              <w:rFonts w:hint="eastAsia"/>
              <w:lang w:val="en-US" w:eastAsia="zh-CN"/>
            </w:rPr>
            <w:t>2</w:t>
          </w:r>
          <w:r>
            <w:rPr>
              <w:rStyle w:val="19"/>
            </w:rPr>
            <w:fldChar w:fldCharType="end"/>
          </w:r>
          <w:r>
            <w:rPr>
              <w:rStyle w:val="19"/>
            </w:rPr>
            <w:fldChar w:fldCharType="end"/>
          </w:r>
        </w:p>
        <w:p>
          <w:pPr>
            <w:pStyle w:val="15"/>
            <w:tabs>
              <w:tab w:val="right" w:leader="dot" w:pos="9016"/>
            </w:tabs>
            <w:ind w:left="560" w:firstLine="0" w:firstLineChars="0"/>
            <w:rPr>
              <w:rStyle w:val="19"/>
            </w:rPr>
          </w:pPr>
          <w:r>
            <w:fldChar w:fldCharType="begin"/>
          </w:r>
          <w:r>
            <w:instrText xml:space="preserve"> HYPERLINK \l "_Toc136254232" </w:instrText>
          </w:r>
          <w:r>
            <w:fldChar w:fldCharType="separate"/>
          </w:r>
          <w:r>
            <w:rPr>
              <w:rStyle w:val="19"/>
            </w:rPr>
            <w:t>附件</w:t>
          </w:r>
          <w:r>
            <w:rPr>
              <w:rStyle w:val="19"/>
              <w:rFonts w:hint="eastAsia"/>
              <w:lang w:val="en-US" w:eastAsia="zh-CN"/>
            </w:rPr>
            <w:t>2</w:t>
          </w:r>
          <w:r>
            <w:rPr>
              <w:rStyle w:val="19"/>
            </w:rPr>
            <w:t xml:space="preserve"> 《零散工业废水接收单位废水接收台账月报表》模板</w:t>
          </w:r>
          <w:r>
            <w:rPr>
              <w:rStyle w:val="19"/>
            </w:rPr>
            <w:tab/>
          </w:r>
          <w:r>
            <w:rPr>
              <w:rStyle w:val="19"/>
            </w:rPr>
            <w:fldChar w:fldCharType="begin"/>
          </w:r>
          <w:r>
            <w:rPr>
              <w:rStyle w:val="19"/>
            </w:rPr>
            <w:instrText xml:space="preserve"> PAGEREF _Toc136254232 \h </w:instrText>
          </w:r>
          <w:r>
            <w:rPr>
              <w:rStyle w:val="19"/>
            </w:rPr>
            <w:fldChar w:fldCharType="separate"/>
          </w:r>
          <w:r>
            <w:rPr>
              <w:rStyle w:val="19"/>
            </w:rPr>
            <w:t>1</w:t>
          </w:r>
          <w:r>
            <w:rPr>
              <w:rStyle w:val="19"/>
              <w:rFonts w:hint="eastAsia"/>
              <w:lang w:val="en-US" w:eastAsia="zh-CN"/>
            </w:rPr>
            <w:t>3</w:t>
          </w:r>
          <w:r>
            <w:rPr>
              <w:rStyle w:val="19"/>
            </w:rPr>
            <w:fldChar w:fldCharType="end"/>
          </w:r>
          <w:r>
            <w:rPr>
              <w:rStyle w:val="19"/>
            </w:rPr>
            <w:fldChar w:fldCharType="end"/>
          </w:r>
        </w:p>
        <w:p>
          <w:pPr>
            <w:pStyle w:val="15"/>
            <w:tabs>
              <w:tab w:val="right" w:leader="dot" w:pos="9016"/>
            </w:tabs>
            <w:ind w:left="560" w:firstLine="0" w:firstLineChars="0"/>
          </w:pPr>
          <w:r>
            <w:fldChar w:fldCharType="begin"/>
          </w:r>
          <w:r>
            <w:instrText xml:space="preserve"> HYPERLINK \l "_Toc136254233" </w:instrText>
          </w:r>
          <w:r>
            <w:fldChar w:fldCharType="separate"/>
          </w:r>
          <w:r>
            <w:rPr>
              <w:rStyle w:val="19"/>
            </w:rPr>
            <w:t>附件</w:t>
          </w:r>
          <w:r>
            <w:rPr>
              <w:rStyle w:val="19"/>
              <w:rFonts w:hint="eastAsia"/>
              <w:lang w:val="en-US" w:eastAsia="zh-CN"/>
            </w:rPr>
            <w:t>3</w:t>
          </w:r>
          <w:r>
            <w:rPr>
              <w:rStyle w:val="19"/>
            </w:rPr>
            <w:t xml:space="preserve"> 《零散工业废水产生单位废水产生转移台账月报表》模板</w:t>
          </w:r>
          <w:r>
            <w:rPr>
              <w:rStyle w:val="19"/>
            </w:rPr>
            <w:tab/>
          </w:r>
          <w:r>
            <w:rPr>
              <w:rStyle w:val="19"/>
            </w:rPr>
            <w:fldChar w:fldCharType="begin"/>
          </w:r>
          <w:r>
            <w:rPr>
              <w:rStyle w:val="19"/>
            </w:rPr>
            <w:instrText xml:space="preserve"> PAGEREF _Toc136254233 \h </w:instrText>
          </w:r>
          <w:r>
            <w:rPr>
              <w:rStyle w:val="19"/>
            </w:rPr>
            <w:fldChar w:fldCharType="separate"/>
          </w:r>
          <w:r>
            <w:rPr>
              <w:rStyle w:val="19"/>
            </w:rPr>
            <w:t>1</w:t>
          </w:r>
          <w:r>
            <w:rPr>
              <w:rStyle w:val="19"/>
              <w:rFonts w:hint="eastAsia"/>
              <w:lang w:val="en-US" w:eastAsia="zh-CN"/>
            </w:rPr>
            <w:t>4</w:t>
          </w:r>
          <w:r>
            <w:rPr>
              <w:rStyle w:val="19"/>
            </w:rPr>
            <w:fldChar w:fldCharType="end"/>
          </w:r>
          <w:r>
            <w:rPr>
              <w:rStyle w:val="19"/>
            </w:rPr>
            <w:fldChar w:fldCharType="end"/>
          </w:r>
          <w:r>
            <w:rPr>
              <w:b/>
              <w:bCs/>
              <w:lang w:val="zh-CN"/>
            </w:rPr>
            <w:fldChar w:fldCharType="end"/>
          </w:r>
        </w:p>
      </w:sdtContent>
    </w:sdt>
    <w:p>
      <w:pPr>
        <w:spacing w:after="312" w:afterLines="100"/>
        <w:ind w:firstLine="0" w:firstLineChars="0"/>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pPr>
    </w:p>
    <w:p>
      <w:pPr>
        <w:spacing w:after="312" w:afterLines="100"/>
        <w:ind w:firstLine="0" w:firstLineChars="0"/>
        <w:jc w:val="center"/>
        <w:rPr>
          <w:b/>
          <w:bCs/>
          <w:sz w:val="36"/>
          <w:szCs w:val="28"/>
        </w:rPr>
        <w:sectPr>
          <w:footerReference r:id="rId11" w:type="default"/>
          <w:pgSz w:w="11906" w:h="16838"/>
          <w:pgMar w:top="1440" w:right="1440" w:bottom="1440" w:left="1440" w:header="851" w:footer="992" w:gutter="0"/>
          <w:pgNumType w:fmt="upperRoman" w:start="1"/>
          <w:cols w:space="425" w:num="1"/>
          <w:docGrid w:type="lines" w:linePitch="312" w:charSpace="0"/>
        </w:sectPr>
      </w:pPr>
    </w:p>
    <w:p>
      <w:pPr>
        <w:pStyle w:val="2"/>
      </w:pPr>
      <w:bookmarkStart w:id="0" w:name="_Toc136254205"/>
      <w:r>
        <w:rPr>
          <w:rFonts w:hint="eastAsia"/>
        </w:rPr>
        <w:t>总则</w:t>
      </w:r>
      <w:bookmarkEnd w:id="0"/>
    </w:p>
    <w:p>
      <w:pPr>
        <w:pStyle w:val="3"/>
      </w:pPr>
      <w:bookmarkStart w:id="1" w:name="_Toc136254206"/>
      <w:r>
        <w:rPr>
          <w:rFonts w:hint="eastAsia"/>
        </w:rPr>
        <w:t>编制目的</w:t>
      </w:r>
      <w:bookmarkEnd w:id="1"/>
    </w:p>
    <w:p>
      <w:pPr>
        <w:ind w:firstLine="560"/>
      </w:pPr>
      <w:r>
        <w:rPr>
          <w:rFonts w:hint="eastAsia"/>
        </w:rPr>
        <w:t>为深入贯彻习近平新时代中国特色社会主义思想，推进生态文明建设，全面推进我市减排治污工作，进一步加强对我市零散工业废水产生、收集、储存、转移等工作的监督管理，根据《中华人民共和国环境保护法》、《中华人民共和国水污染防治法》等法律、法规规定，结合本市实际，制定本工作指引。</w:t>
      </w:r>
    </w:p>
    <w:p>
      <w:pPr>
        <w:pStyle w:val="3"/>
      </w:pPr>
      <w:bookmarkStart w:id="2" w:name="_Toc136254207"/>
      <w:r>
        <w:rPr>
          <w:rFonts w:hint="eastAsia"/>
        </w:rPr>
        <w:t>适用范围</w:t>
      </w:r>
      <w:bookmarkEnd w:id="2"/>
    </w:p>
    <w:p>
      <w:pPr>
        <w:ind w:firstLine="560"/>
      </w:pPr>
      <w:r>
        <w:rPr>
          <w:rFonts w:hint="eastAsia"/>
        </w:rPr>
        <w:t>本指引所称的零散工业废水，是指企业事业单位和其他生产经营者在生产经营过程中产生的，且经批准或者备案的环境影响评价文件明确的或者排污许可证、排污登记表登记载明需要转移处理的工业废水，不包括通过管道输送转移处理的废水，不包括危险废物。</w:t>
      </w:r>
    </w:p>
    <w:p>
      <w:pPr>
        <w:ind w:firstLine="560"/>
      </w:pPr>
      <w:r>
        <w:rPr>
          <w:rFonts w:hint="eastAsia"/>
        </w:rPr>
        <w:t>本指引适用于我市行政区域内零散工业废水的产生、收集、储存、转移、处理、排放及监督管理活动。超出本指引适用范围的其他工业废水的产生、收集、储存、转移、处理、排放等活动，适用有关法律、法规的规定。</w:t>
      </w:r>
    </w:p>
    <w:p>
      <w:pPr>
        <w:pStyle w:val="3"/>
      </w:pPr>
      <w:bookmarkStart w:id="3" w:name="_Toc136254208"/>
      <w:r>
        <w:rPr>
          <w:rFonts w:hint="eastAsia"/>
        </w:rPr>
        <w:t>编制依据</w:t>
      </w:r>
      <w:bookmarkEnd w:id="3"/>
    </w:p>
    <w:p>
      <w:pPr>
        <w:numPr>
          <w:ilvl w:val="1"/>
          <w:numId w:val="2"/>
        </w:numPr>
        <w:ind w:firstLine="560"/>
      </w:pPr>
      <w:r>
        <w:rPr>
          <w:rFonts w:hint="eastAsia"/>
        </w:rPr>
        <w:t>《中华人民共和国环境保护法》（2015年1月1日起施行）；</w:t>
      </w:r>
    </w:p>
    <w:p>
      <w:pPr>
        <w:numPr>
          <w:ilvl w:val="1"/>
          <w:numId w:val="2"/>
        </w:numPr>
        <w:ind w:firstLine="560"/>
      </w:pPr>
      <w:r>
        <w:rPr>
          <w:rFonts w:hint="eastAsia"/>
        </w:rPr>
        <w:t>《中华人民共和国水污染防治法》（2018年1月1日起施行）；</w:t>
      </w:r>
    </w:p>
    <w:p>
      <w:pPr>
        <w:numPr>
          <w:ilvl w:val="1"/>
          <w:numId w:val="2"/>
        </w:numPr>
        <w:ind w:firstLine="560"/>
      </w:pPr>
      <w:r>
        <w:rPr>
          <w:rFonts w:hint="eastAsia"/>
        </w:rPr>
        <w:t>《中华人民共和国环境影响评价法》（2018年12月29日修订）；</w:t>
      </w:r>
    </w:p>
    <w:p>
      <w:pPr>
        <w:numPr>
          <w:ilvl w:val="1"/>
          <w:numId w:val="2"/>
        </w:numPr>
        <w:ind w:firstLine="560"/>
      </w:pPr>
      <w:r>
        <w:rPr>
          <w:rFonts w:hint="eastAsia"/>
        </w:rPr>
        <w:t>《建设项目环境保护管理条例》（2017年7月16日修订）；</w:t>
      </w:r>
    </w:p>
    <w:p>
      <w:pPr>
        <w:numPr>
          <w:ilvl w:val="1"/>
          <w:numId w:val="2"/>
        </w:numPr>
        <w:ind w:firstLine="560"/>
      </w:pPr>
      <w:r>
        <w:rPr>
          <w:rFonts w:hint="eastAsia"/>
        </w:rPr>
        <w:t>《排污许可管理条例》（2021年3月1日起施行）；</w:t>
      </w:r>
    </w:p>
    <w:p>
      <w:pPr>
        <w:numPr>
          <w:ilvl w:val="1"/>
          <w:numId w:val="2"/>
        </w:numPr>
        <w:ind w:firstLine="560"/>
      </w:pPr>
      <w:r>
        <w:rPr>
          <w:rFonts w:hint="eastAsia"/>
        </w:rPr>
        <w:t>《中华人民共和国道路运输条例》（2022年5月1日起施行）；</w:t>
      </w:r>
    </w:p>
    <w:p>
      <w:pPr>
        <w:numPr>
          <w:ilvl w:val="1"/>
          <w:numId w:val="2"/>
        </w:numPr>
        <w:ind w:firstLine="560"/>
      </w:pPr>
      <w:r>
        <w:rPr>
          <w:rFonts w:hint="eastAsia"/>
        </w:rPr>
        <w:t>《企业环境信息依法披露管理办法》（2022年2月8日起施行）。</w:t>
      </w:r>
    </w:p>
    <w:p>
      <w:pPr>
        <w:pStyle w:val="3"/>
      </w:pPr>
      <w:bookmarkStart w:id="4" w:name="_Toc136254209"/>
      <w:r>
        <w:rPr>
          <w:rFonts w:hint="eastAsia"/>
        </w:rPr>
        <w:t>名词解释</w:t>
      </w:r>
      <w:bookmarkEnd w:id="4"/>
    </w:p>
    <w:p>
      <w:pPr>
        <w:ind w:firstLine="560"/>
        <w:rPr>
          <w:szCs w:val="28"/>
        </w:rPr>
      </w:pPr>
      <w:r>
        <w:rPr>
          <w:rFonts w:hint="eastAsia"/>
          <w:szCs w:val="28"/>
        </w:rPr>
        <w:t>零散工业废水产生单位，是指在工业生产经营过程中产生零散工业废水的企业事业单位和其他生产经营者。</w:t>
      </w:r>
    </w:p>
    <w:p>
      <w:pPr>
        <w:ind w:firstLine="560"/>
        <w:rPr>
          <w:szCs w:val="28"/>
        </w:rPr>
      </w:pPr>
      <w:r>
        <w:rPr>
          <w:rFonts w:hint="eastAsia"/>
          <w:szCs w:val="28"/>
        </w:rPr>
        <w:t>零散工业废水接收单位，亦称零散工业废水收运处理企业，是指从事零散工业废水收集、运输、处理、排放活动的企业事业单位和其他生产经营者。</w:t>
      </w:r>
    </w:p>
    <w:p>
      <w:pPr>
        <w:pStyle w:val="3"/>
      </w:pPr>
      <w:bookmarkStart w:id="5" w:name="_Toc136254210"/>
      <w:r>
        <w:rPr>
          <w:rFonts w:hint="eastAsia"/>
        </w:rPr>
        <w:t>其他</w:t>
      </w:r>
      <w:bookmarkEnd w:id="5"/>
    </w:p>
    <w:p>
      <w:pPr>
        <w:ind w:firstLine="560"/>
      </w:pPr>
      <w:r>
        <w:rPr>
          <w:rFonts w:hint="eastAsia"/>
        </w:rPr>
        <w:t>本指引发布后与国家、省有关标准及规范性文件相关规定不一致的，以最新发布的有关标准及规范性文件相关规定为准。</w:t>
      </w:r>
    </w:p>
    <w:p>
      <w:pPr>
        <w:pStyle w:val="2"/>
      </w:pPr>
      <w:bookmarkStart w:id="6" w:name="_Toc136254211"/>
      <w:r>
        <w:rPr>
          <w:rFonts w:hint="eastAsia"/>
        </w:rPr>
        <w:t>收集、储存</w:t>
      </w:r>
      <w:bookmarkEnd w:id="6"/>
    </w:p>
    <w:p>
      <w:pPr>
        <w:pStyle w:val="3"/>
      </w:pPr>
      <w:bookmarkStart w:id="7" w:name="_Toc136254212"/>
      <w:r>
        <w:rPr>
          <w:rFonts w:hint="eastAsia"/>
        </w:rPr>
        <w:t>污染防治要求</w:t>
      </w:r>
      <w:bookmarkEnd w:id="7"/>
    </w:p>
    <w:p>
      <w:pPr>
        <w:ind w:firstLine="560"/>
        <w:jc w:val="left"/>
      </w:pPr>
      <w:r>
        <w:rPr>
          <w:rFonts w:hint="eastAsia"/>
        </w:rPr>
        <w:t>零散工业废水的收集、储存设施不得存在滴、漏、渗、溢现象，不得与生活用水、雨水或者其它液体的收集、储存设施相连通。</w:t>
      </w:r>
    </w:p>
    <w:p>
      <w:pPr>
        <w:ind w:firstLine="560"/>
        <w:jc w:val="left"/>
      </w:pPr>
      <w:r>
        <w:rPr>
          <w:rFonts w:hint="eastAsia"/>
        </w:rPr>
        <w:t>禁止将其他危险废物、杂物注入零散工业废水中，禁止在零散工业废水收集、储存设施内预设暗口或者安装旁通阀门，禁止在地下铺埋偷排暗管或者铺设偷排暗渠。</w:t>
      </w:r>
    </w:p>
    <w:p>
      <w:pPr>
        <w:ind w:firstLine="560"/>
        <w:rPr>
          <w:szCs w:val="28"/>
        </w:rPr>
      </w:pPr>
      <w:r>
        <w:rPr>
          <w:rFonts w:hint="eastAsia"/>
          <w:szCs w:val="28"/>
        </w:rPr>
        <w:t>零散工业废水产生单位应定期检查收集及储存设备运行情况，及时排查零散工业废水污染风险。</w:t>
      </w:r>
    </w:p>
    <w:p>
      <w:pPr>
        <w:pStyle w:val="3"/>
      </w:pPr>
      <w:bookmarkStart w:id="8" w:name="_Toc136254213"/>
      <w:r>
        <w:rPr>
          <w:rFonts w:hint="eastAsia"/>
        </w:rPr>
        <w:t>管道、储存设施建设要求</w:t>
      </w:r>
      <w:bookmarkEnd w:id="8"/>
    </w:p>
    <w:p>
      <w:pPr>
        <w:ind w:firstLine="560"/>
        <w:rPr>
          <w:rFonts w:hint="eastAsia"/>
          <w:szCs w:val="28"/>
        </w:rPr>
      </w:pPr>
      <w:r>
        <w:rPr>
          <w:rFonts w:hint="eastAsia"/>
          <w:szCs w:val="28"/>
        </w:rPr>
        <w:t>零散工业废水的储存设施的建造位置应当便于转移运输和观察水位，设施底部和外围及四周应当做好防渗漏、防溢出措施，储存容积原则上不得小于满负荷生产时连续5日的废水产生</w:t>
      </w:r>
      <w:r>
        <w:rPr>
          <w:rFonts w:hint="eastAsia" w:ascii="Times New Roman" w:hAnsi="Times New Roman" w:cs="Times New Roman"/>
          <w:szCs w:val="28"/>
        </w:rPr>
        <w:t>量；废水收集管道应当以明管的形式与零散工业废水储存设施直接连通</w:t>
      </w:r>
      <w:r>
        <w:rPr>
          <w:rFonts w:hint="eastAsia" w:ascii="Times New Roman" w:hAnsi="Times New Roman" w:cs="Times New Roman"/>
          <w:szCs w:val="28"/>
          <w:lang w:eastAsia="zh-CN"/>
        </w:rPr>
        <w:t>；</w:t>
      </w:r>
      <w:r>
        <w:rPr>
          <w:rFonts w:hint="eastAsia" w:ascii="Times New Roman" w:hAnsi="Times New Roman" w:cs="Times New Roman"/>
          <w:szCs w:val="28"/>
          <w:lang w:val="en-US" w:eastAsia="zh-CN"/>
        </w:rPr>
        <w:t>若部分零散工业废水需回用的，应另行设置回用水暂存设施，不得与</w:t>
      </w:r>
      <w:r>
        <w:rPr>
          <w:rFonts w:hint="eastAsia" w:ascii="Times New Roman" w:hAnsi="Times New Roman" w:cs="Times New Roman"/>
          <w:szCs w:val="28"/>
        </w:rPr>
        <w:t>零散工业废水</w:t>
      </w:r>
      <w:r>
        <w:rPr>
          <w:rFonts w:hint="eastAsia" w:ascii="Times New Roman" w:hAnsi="Times New Roman" w:cs="Times New Roman"/>
          <w:szCs w:val="28"/>
          <w:lang w:val="en-US" w:eastAsia="zh-CN"/>
        </w:rPr>
        <w:t>储存设施连通。</w:t>
      </w:r>
    </w:p>
    <w:p>
      <w:pPr>
        <w:pStyle w:val="3"/>
      </w:pPr>
      <w:bookmarkStart w:id="9" w:name="_Toc136254214"/>
      <w:r>
        <w:rPr>
          <w:rFonts w:hint="eastAsia"/>
        </w:rPr>
        <w:t>计量设备安装要求</w:t>
      </w:r>
      <w:bookmarkEnd w:id="9"/>
    </w:p>
    <w:p>
      <w:pPr>
        <w:ind w:firstLine="560"/>
        <w:rPr>
          <w:rFonts w:hint="eastAsia" w:ascii="Times New Roman" w:hAnsi="Times New Roman" w:cs="Times New Roman"/>
          <w:szCs w:val="28"/>
        </w:rPr>
      </w:pPr>
      <w:r>
        <w:rPr>
          <w:rFonts w:hint="eastAsia"/>
          <w:szCs w:val="28"/>
        </w:rPr>
        <w:t>零散工业废水产生单位应对产生零散废水的工序安装独立的工业用水水表，不与生活用水水表混合使用；在储存设施中安装水量计量装置，监控储存设施的液位情况，如有多个储存设施，每个设施均需安装水量计量装置；在适当位置安装视频监控，要求可以清晰看出储存设</w:t>
      </w:r>
      <w:r>
        <w:rPr>
          <w:rFonts w:hint="eastAsia" w:ascii="Times New Roman" w:hAnsi="Times New Roman" w:cs="Times New Roman"/>
          <w:szCs w:val="28"/>
        </w:rPr>
        <w:t>施及其周边环境情况。所有计量监控设施预留与生态环境部门进行数据联网的接口</w:t>
      </w:r>
      <w:r>
        <w:rPr>
          <w:rFonts w:hint="eastAsia" w:ascii="Times New Roman" w:hAnsi="Times New Roman" w:cs="Times New Roman"/>
          <w:szCs w:val="28"/>
          <w:lang w:eastAsia="zh-CN"/>
        </w:rPr>
        <w:t>，</w:t>
      </w:r>
      <w:r>
        <w:rPr>
          <w:rFonts w:hint="eastAsia" w:ascii="Times New Roman" w:hAnsi="Times New Roman" w:cs="Times New Roman"/>
          <w:szCs w:val="28"/>
          <w:lang w:val="en-US" w:eastAsia="zh-CN"/>
        </w:rPr>
        <w:t>计量设备及联网应满足中山市生态环境局关于印发《2023年中山市重点单位非浓度自动监控设备安装联网工作方案》的通知中技术指南的要求。</w:t>
      </w:r>
    </w:p>
    <w:p>
      <w:pPr>
        <w:pStyle w:val="3"/>
      </w:pPr>
      <w:bookmarkStart w:id="10" w:name="_Toc136254215"/>
      <w:r>
        <w:rPr>
          <w:rFonts w:hint="eastAsia"/>
        </w:rPr>
        <w:t>废水储存管理要求</w:t>
      </w:r>
      <w:bookmarkEnd w:id="10"/>
    </w:p>
    <w:p>
      <w:pPr>
        <w:ind w:firstLine="560"/>
        <w:rPr>
          <w:szCs w:val="28"/>
        </w:rPr>
      </w:pPr>
      <w:r>
        <w:rPr>
          <w:rFonts w:hint="eastAsia"/>
          <w:szCs w:val="28"/>
        </w:rPr>
        <w:t>零散工业废水产生单位应定期观察储存设施的水位情况，当储存水量超过最大容积量80%或剩余储存量不足2天正常生产产水量时，需及时联系零散工业废水接收单位转移。如遇零散工业废水接收单位无故拒绝收运的，应及时向属地生态环境部门反馈。</w:t>
      </w:r>
    </w:p>
    <w:p>
      <w:pPr>
        <w:pStyle w:val="2"/>
      </w:pPr>
      <w:bookmarkStart w:id="11" w:name="_Toc136254216"/>
      <w:r>
        <w:rPr>
          <w:rFonts w:hint="eastAsia"/>
        </w:rPr>
        <w:t>运输、处理</w:t>
      </w:r>
      <w:bookmarkEnd w:id="11"/>
    </w:p>
    <w:p>
      <w:pPr>
        <w:pStyle w:val="3"/>
      </w:pPr>
      <w:bookmarkStart w:id="12" w:name="_Toc136254217"/>
      <w:r>
        <w:rPr>
          <w:rFonts w:hint="eastAsia"/>
        </w:rPr>
        <w:t>接收单位环保手续要求</w:t>
      </w:r>
      <w:bookmarkEnd w:id="12"/>
    </w:p>
    <w:p>
      <w:pPr>
        <w:ind w:firstLine="560"/>
        <w:rPr>
          <w:rFonts w:hint="eastAsia" w:ascii="Times New Roman" w:hAnsi="Times New Roman" w:cs="Times New Roman"/>
          <w:szCs w:val="28"/>
        </w:rPr>
      </w:pPr>
      <w:r>
        <w:rPr>
          <w:rFonts w:hint="eastAsia"/>
          <w:szCs w:val="28"/>
        </w:rPr>
        <w:t>零散工业废水接收单位须经环评审批，明确可以接收处理的废水种类和数量，配套的废水治理设施具有足够处置能力、适用的处理工艺，外排污染物符合环评审批文件批准的排放标准和地方水环境容量的</w:t>
      </w:r>
      <w:r>
        <w:rPr>
          <w:rFonts w:hint="eastAsia" w:ascii="Times New Roman" w:hAnsi="Times New Roman" w:cs="Times New Roman"/>
          <w:szCs w:val="28"/>
        </w:rPr>
        <w:t>要求，取得排污许可证</w:t>
      </w:r>
      <w:r>
        <w:rPr>
          <w:rFonts w:hint="eastAsia" w:ascii="Times New Roman" w:hAnsi="Times New Roman" w:cs="Times New Roman"/>
          <w:szCs w:val="28"/>
          <w:lang w:val="en-US" w:eastAsia="zh-CN"/>
        </w:rPr>
        <w:t>方可接收处理</w:t>
      </w:r>
      <w:r>
        <w:rPr>
          <w:rFonts w:hint="eastAsia" w:ascii="Times New Roman" w:hAnsi="Times New Roman" w:cs="Times New Roman"/>
          <w:szCs w:val="28"/>
          <w:lang w:eastAsia="zh-CN"/>
        </w:rPr>
        <w:t>零散工业废水。</w:t>
      </w:r>
      <w:r>
        <w:rPr>
          <w:rFonts w:hint="eastAsia" w:ascii="Times New Roman" w:hAnsi="Times New Roman" w:cs="Times New Roman"/>
          <w:szCs w:val="28"/>
          <w:lang w:val="en-US" w:eastAsia="zh-CN"/>
        </w:rPr>
        <w:t>在项目调试期满后还应进行</w:t>
      </w:r>
      <w:r>
        <w:rPr>
          <w:rFonts w:hint="eastAsia" w:ascii="Times New Roman" w:hAnsi="Times New Roman" w:cs="Times New Roman"/>
          <w:szCs w:val="28"/>
        </w:rPr>
        <w:t>环境保护设施竣工验收</w:t>
      </w:r>
      <w:r>
        <w:rPr>
          <w:rFonts w:hint="eastAsia" w:ascii="Times New Roman" w:hAnsi="Times New Roman" w:cs="Times New Roman"/>
          <w:szCs w:val="28"/>
          <w:lang w:val="en-US" w:eastAsia="zh-CN"/>
        </w:rPr>
        <w:t>工作</w:t>
      </w:r>
      <w:r>
        <w:rPr>
          <w:rFonts w:hint="eastAsia" w:ascii="Times New Roman" w:hAnsi="Times New Roman" w:cs="Times New Roman"/>
          <w:szCs w:val="28"/>
        </w:rPr>
        <w:t>。</w:t>
      </w:r>
    </w:p>
    <w:p>
      <w:pPr>
        <w:pStyle w:val="3"/>
      </w:pPr>
      <w:bookmarkStart w:id="13" w:name="_Toc136254218"/>
      <w:r>
        <w:rPr>
          <w:rFonts w:hint="eastAsia"/>
        </w:rPr>
        <w:t>车辆运输要求</w:t>
      </w:r>
      <w:bookmarkEnd w:id="13"/>
    </w:p>
    <w:p>
      <w:pPr>
        <w:ind w:firstLine="560"/>
        <w:rPr>
          <w:szCs w:val="28"/>
        </w:rPr>
      </w:pPr>
      <w:r>
        <w:rPr>
          <w:rFonts w:hint="eastAsia"/>
          <w:szCs w:val="28"/>
        </w:rPr>
        <w:t>零散工业废水接收单位应配备专业收运团队，收运人员经培训后上岗，并定期组织人员开展技能及安全生产培训，原则上每年开展培训次数不少于1次。</w:t>
      </w:r>
    </w:p>
    <w:p>
      <w:pPr>
        <w:ind w:firstLine="560"/>
        <w:rPr>
          <w:szCs w:val="28"/>
        </w:rPr>
      </w:pPr>
      <w:r>
        <w:rPr>
          <w:rFonts w:hint="eastAsia"/>
          <w:szCs w:val="28"/>
        </w:rPr>
        <w:t>零散工业废水接收单位的废水运输车辆应当使用罐式车或者其他达到密封性要求的货车，车辆应当安装水量储存计量设备和GPS定位系统，做好安全警示性标识。应当定期检查维护运输专用车辆，保证车辆正常运行，预防出现滴、漏、渗、溢等情况。</w:t>
      </w:r>
    </w:p>
    <w:p>
      <w:pPr>
        <w:ind w:firstLine="560"/>
        <w:rPr>
          <w:szCs w:val="28"/>
        </w:rPr>
      </w:pPr>
      <w:r>
        <w:rPr>
          <w:rFonts w:hint="eastAsia"/>
          <w:szCs w:val="28"/>
        </w:rPr>
        <w:t>禁止零散工业废水接收单位将危险废物混入零散工业废水转移处理，禁止在运输途中倾倒或喷洒零散工业废水，禁止无故拖延或拒绝转移零散工业废水。</w:t>
      </w:r>
    </w:p>
    <w:p>
      <w:pPr>
        <w:pStyle w:val="3"/>
      </w:pPr>
      <w:bookmarkStart w:id="14" w:name="_Toc136254219"/>
      <w:r>
        <w:rPr>
          <w:rFonts w:hint="eastAsia"/>
        </w:rPr>
        <w:t>废水准入要求</w:t>
      </w:r>
      <w:bookmarkEnd w:id="14"/>
    </w:p>
    <w:p>
      <w:pPr>
        <w:ind w:firstLine="560"/>
        <w:rPr>
          <w:szCs w:val="28"/>
        </w:rPr>
      </w:pPr>
      <w:r>
        <w:rPr>
          <w:rFonts w:hint="eastAsia"/>
          <w:szCs w:val="28"/>
        </w:rPr>
        <w:t>零散工业废水接收单位与零散工业废水产生单位签订零散工业废水转移处理协议前，应当对零散工业废水产生单位进行现场考察：</w:t>
      </w:r>
    </w:p>
    <w:p>
      <w:pPr>
        <w:ind w:firstLine="560"/>
        <w:rPr>
          <w:szCs w:val="28"/>
        </w:rPr>
      </w:pPr>
      <w:r>
        <w:rPr>
          <w:rFonts w:hint="eastAsia"/>
          <w:szCs w:val="28"/>
        </w:rPr>
        <w:t>1、对于零散废水产生单位收集储存设施存在滴、漏、渗、溢等不符合储存要求的情况，拒绝接收废水，并上报属地生态环境部门；</w:t>
      </w:r>
    </w:p>
    <w:p>
      <w:pPr>
        <w:ind w:firstLine="560"/>
        <w:rPr>
          <w:szCs w:val="28"/>
        </w:rPr>
      </w:pPr>
      <w:r>
        <w:rPr>
          <w:rFonts w:hint="eastAsia"/>
          <w:szCs w:val="28"/>
        </w:rPr>
        <w:t>2、核实拟接收废水是否属于环评文件、排污许可证等确定的本单位可接收处理的废水类型；</w:t>
      </w:r>
    </w:p>
    <w:p>
      <w:pPr>
        <w:ind w:firstLine="560"/>
        <w:rPr>
          <w:szCs w:val="28"/>
        </w:rPr>
      </w:pPr>
      <w:r>
        <w:rPr>
          <w:rFonts w:hint="eastAsia"/>
          <w:szCs w:val="28"/>
        </w:rPr>
        <w:t>3、核实拟接收废水产生量并对拟接收废水进行采样检测，研判本单位废水处理设施是否具备相应处理能力。</w:t>
      </w:r>
    </w:p>
    <w:p>
      <w:pPr>
        <w:ind w:firstLine="560"/>
        <w:rPr>
          <w:szCs w:val="28"/>
        </w:rPr>
      </w:pPr>
      <w:r>
        <w:rPr>
          <w:rFonts w:hint="eastAsia"/>
          <w:szCs w:val="28"/>
        </w:rPr>
        <w:t>零散工业废水接收单位转移接收零散工业废水履约期间，应定期抽样检测零散工业废水是否符合约定的转移处理水质要求；检测不符合的，零散工业废水接收单位有权拒绝接收。对成分异常或无处理能力的废水，及时报告属地生态环境部门处理。</w:t>
      </w:r>
    </w:p>
    <w:p>
      <w:pPr>
        <w:ind w:firstLine="560"/>
        <w:rPr>
          <w:szCs w:val="28"/>
        </w:rPr>
      </w:pPr>
      <w:r>
        <w:rPr>
          <w:rFonts w:hint="eastAsia"/>
          <w:szCs w:val="28"/>
        </w:rPr>
        <w:t>零散工业废水接收单位对正在办理相关证件的无牌无证企业主动上门要求接收处理的，应按要求做好接收工作，防止废水偷排漏排，并及时通报属地生态环境部门。</w:t>
      </w:r>
    </w:p>
    <w:p>
      <w:pPr>
        <w:pStyle w:val="3"/>
      </w:pPr>
      <w:bookmarkStart w:id="15" w:name="_Toc136254220"/>
      <w:r>
        <w:rPr>
          <w:rFonts w:hint="eastAsia"/>
        </w:rPr>
        <w:t>监测设备安装要求</w:t>
      </w:r>
      <w:bookmarkEnd w:id="15"/>
    </w:p>
    <w:p>
      <w:pPr>
        <w:ind w:firstLine="560"/>
        <w:rPr>
          <w:szCs w:val="28"/>
        </w:rPr>
      </w:pPr>
      <w:r>
        <w:rPr>
          <w:rFonts w:hint="eastAsia"/>
          <w:szCs w:val="28"/>
        </w:rPr>
        <w:t>零散工业废水接收单位应当在零散工业废水处置设施前端安装零散工业废水接收量计量设备，在零散工业废水处理达标排放口安装排放水量计量设备、水质测量设备和视频监控设备等水污染物排放自动监测设备，并与生态环境部门监控设备联网。零散工业废水接收单位应当定期对相关设施进行检查维护，保证设施正常运行。</w:t>
      </w:r>
    </w:p>
    <w:p>
      <w:pPr>
        <w:pStyle w:val="3"/>
      </w:pPr>
      <w:bookmarkStart w:id="16" w:name="_Toc136254221"/>
      <w:r>
        <w:rPr>
          <w:rFonts w:hint="eastAsia"/>
        </w:rPr>
        <w:t>污泥处理处置要求</w:t>
      </w:r>
      <w:bookmarkEnd w:id="16"/>
    </w:p>
    <w:p>
      <w:pPr>
        <w:ind w:firstLine="560"/>
        <w:rPr>
          <w:szCs w:val="28"/>
        </w:rPr>
      </w:pPr>
      <w:r>
        <w:rPr>
          <w:rFonts w:hint="eastAsia"/>
          <w:szCs w:val="28"/>
        </w:rPr>
        <w:t>零散工业废水处理产生的污泥须交由有处置能力的工业固体废物处置单位进行处理，其中环评文件认定为危险废物的应转移到有相应危险废物经营资质的单位进行处理处置。</w:t>
      </w:r>
    </w:p>
    <w:p>
      <w:pPr>
        <w:pStyle w:val="3"/>
      </w:pPr>
      <w:bookmarkStart w:id="17" w:name="_Toc136254222"/>
      <w:r>
        <w:rPr>
          <w:rFonts w:hint="eastAsia"/>
        </w:rPr>
        <w:t>废水达标排放要求</w:t>
      </w:r>
      <w:bookmarkEnd w:id="17"/>
    </w:p>
    <w:p>
      <w:pPr>
        <w:ind w:firstLine="560"/>
        <w:rPr>
          <w:szCs w:val="28"/>
        </w:rPr>
      </w:pPr>
      <w:r>
        <w:rPr>
          <w:rFonts w:hint="eastAsia"/>
          <w:szCs w:val="28"/>
        </w:rPr>
        <w:t>零散工业废水接收单位应当对接收的零散工业废水进行集中处理，排放水污染物不得超过国家和地方规定的水污染物排放标准。</w:t>
      </w:r>
    </w:p>
    <w:p>
      <w:pPr>
        <w:pStyle w:val="2"/>
      </w:pPr>
      <w:bookmarkStart w:id="18" w:name="_Toc136254223"/>
      <w:r>
        <w:rPr>
          <w:rFonts w:hint="eastAsia"/>
        </w:rPr>
        <w:t>台账、联单管理</w:t>
      </w:r>
      <w:bookmarkEnd w:id="18"/>
    </w:p>
    <w:p>
      <w:pPr>
        <w:pStyle w:val="3"/>
      </w:pPr>
      <w:bookmarkStart w:id="19" w:name="_Toc136254224"/>
      <w:r>
        <w:rPr>
          <w:rFonts w:hint="eastAsia"/>
        </w:rPr>
        <w:t>转移联单管理制度</w:t>
      </w:r>
      <w:bookmarkEnd w:id="19"/>
    </w:p>
    <w:p>
      <w:pPr>
        <w:ind w:firstLine="560"/>
        <w:rPr>
          <w:szCs w:val="28"/>
        </w:rPr>
      </w:pPr>
      <w:r>
        <w:rPr>
          <w:rFonts w:hint="eastAsia"/>
          <w:szCs w:val="28"/>
        </w:rPr>
        <w:t>零散工业废水接收单位和产生单位应建立转移联单管理制度。零散工业废水接收单位根据联单模板制作《零散工业废水转移联单》（详见附件2），原件一式两份，在接收零散工业废水时，与零散工业废水产生单位核对转移量、转移时间等，填写转移联单。转移联单第一联和第二联副联由零散工业废水产生单位和接收单位分别自留存档。</w:t>
      </w:r>
    </w:p>
    <w:p>
      <w:pPr>
        <w:pStyle w:val="3"/>
      </w:pPr>
      <w:bookmarkStart w:id="20" w:name="_Toc136254225"/>
      <w:r>
        <w:rPr>
          <w:rFonts w:hint="eastAsia"/>
        </w:rPr>
        <w:t>废水管理台账</w:t>
      </w:r>
      <w:bookmarkEnd w:id="20"/>
    </w:p>
    <w:p>
      <w:pPr>
        <w:ind w:firstLine="560"/>
        <w:rPr>
          <w:szCs w:val="28"/>
        </w:rPr>
      </w:pPr>
      <w:r>
        <w:rPr>
          <w:rFonts w:hint="eastAsia"/>
          <w:szCs w:val="28"/>
        </w:rPr>
        <w:t>零散工业废水接收单位和产生单位应建立零散工业废水管理台账。其中，接收单位应建立零散工业废水管理台账，如实、完整、准确记录废水产生单位名称、废水类型、收运人员、收运水量、运输车辆等台账信息，并每月汇总情况填写《零散工业废水接收单位废水接收台账月报表》（详见附件3）；产生单位应建立零散工业废水管理台账，如实记录日生产用水量、日废水产生量、日存储废水量与转移量和转移时间等台账信息，并每月汇总情况填写《零散工业废水产生单位废水产生转移台账月报表》（详见附件4）。</w:t>
      </w:r>
    </w:p>
    <w:p>
      <w:pPr>
        <w:pStyle w:val="2"/>
      </w:pPr>
      <w:bookmarkStart w:id="21" w:name="_Toc136254226"/>
      <w:r>
        <w:rPr>
          <w:rFonts w:hint="eastAsia"/>
        </w:rPr>
        <w:t>应急管理</w:t>
      </w:r>
      <w:bookmarkEnd w:id="21"/>
    </w:p>
    <w:p>
      <w:pPr>
        <w:ind w:firstLine="560"/>
      </w:pPr>
      <w:r>
        <w:rPr>
          <w:rFonts w:hint="eastAsia"/>
        </w:rPr>
        <w:t>零散工业废水接收单位应编制、备案突发环境事件应急预案，建立环境风险隐患排查制度，落实环境风险防范措施，建立完善的生产管理体系，做好零散工业废水收集处理的运营、应急和安全等管理工作。</w:t>
      </w:r>
    </w:p>
    <w:p>
      <w:pPr>
        <w:ind w:firstLine="560"/>
      </w:pPr>
      <w:r>
        <w:rPr>
          <w:rFonts w:hint="eastAsia"/>
        </w:rPr>
        <w:t>零散工业废水产生单位应将零散工业废水收集、储存的运营、应急和安全等管理工作纳入企业突发环境事件应急预案，建立环境风险隐患排查制度，落实环境风险防范措施，建立完善的生产管理体系。</w:t>
      </w:r>
    </w:p>
    <w:p>
      <w:pPr>
        <w:pStyle w:val="2"/>
        <w:pageBreakBefore w:val="0"/>
      </w:pPr>
      <w:bookmarkStart w:id="22" w:name="_Toc136254227"/>
      <w:r>
        <w:rPr>
          <w:rFonts w:hint="eastAsia"/>
        </w:rPr>
        <w:t>信息报送</w:t>
      </w:r>
      <w:bookmarkEnd w:id="22"/>
    </w:p>
    <w:p>
      <w:pPr>
        <w:ind w:firstLine="560"/>
        <w:rPr>
          <w:szCs w:val="28"/>
        </w:rPr>
      </w:pPr>
      <w:r>
        <w:rPr>
          <w:rFonts w:hint="eastAsia"/>
          <w:szCs w:val="28"/>
        </w:rPr>
        <w:t>零散工业废水产生单位每月10日前将上月的《零散工业废水产生单位废水产生转移台账月报表》报送所在镇街生态环境部门。</w:t>
      </w:r>
    </w:p>
    <w:p>
      <w:pPr>
        <w:ind w:firstLine="560"/>
        <w:rPr>
          <w:szCs w:val="28"/>
        </w:rPr>
      </w:pPr>
      <w:r>
        <w:rPr>
          <w:rFonts w:hint="eastAsia"/>
          <w:szCs w:val="28"/>
        </w:rPr>
        <w:t>零散工业废水接收单位每月10日前将上月的《零散工业废水接收单位废水接收台账月报表》报送所在镇街生态环境部门，并抄报市生态环境局。</w:t>
      </w:r>
    </w:p>
    <w:p>
      <w:pPr>
        <w:ind w:firstLine="560"/>
        <w:sectPr>
          <w:footerReference r:id="rId12" w:type="default"/>
          <w:pgSz w:w="11906" w:h="16838"/>
          <w:pgMar w:top="1440" w:right="1440" w:bottom="1440" w:left="1440" w:header="851" w:footer="992" w:gutter="0"/>
          <w:pgNumType w:start="1"/>
          <w:cols w:space="425" w:num="1"/>
          <w:docGrid w:type="lines" w:linePitch="312" w:charSpace="0"/>
        </w:sectPr>
      </w:pPr>
      <w:r>
        <w:rPr>
          <w:rFonts w:hint="eastAsia"/>
          <w:szCs w:val="28"/>
        </w:rPr>
        <w:t>市生态环境局按信息化建设要求推进零散工业废水监管平台的建设，待监管平台建成启用后，相应信息报送要求按照平台管理要求进行。</w:t>
      </w:r>
    </w:p>
    <w:p>
      <w:pPr>
        <w:pStyle w:val="2"/>
      </w:pPr>
      <w:bookmarkStart w:id="23" w:name="_Toc136254228"/>
      <w:r>
        <w:rPr>
          <w:rFonts w:hint="eastAsia"/>
        </w:rPr>
        <w:t>监督管理</w:t>
      </w:r>
      <w:bookmarkEnd w:id="23"/>
    </w:p>
    <w:p>
      <w:pPr>
        <w:ind w:firstLine="560"/>
        <w:rPr>
          <w:szCs w:val="28"/>
        </w:rPr>
      </w:pPr>
      <w:r>
        <w:rPr>
          <w:rFonts w:hint="eastAsia"/>
          <w:szCs w:val="28"/>
        </w:rPr>
        <w:t>市生态环境局负责全市零散工业废水集中处理的统一管理，统筹协调建设管理、检查执法，信息报送、台账管理等方面的工作，规范零散废水集中处理市场，针对性开展对零散工业废水的转移专项检查，严厉打击无证接收零散废水、废水处理不达标或偷排漏排、非法倾倒零散废水等环境违法行为。</w:t>
      </w:r>
    </w:p>
    <w:p>
      <w:pPr>
        <w:ind w:firstLine="560"/>
        <w:rPr>
          <w:szCs w:val="28"/>
        </w:rPr>
      </w:pPr>
      <w:r>
        <w:rPr>
          <w:rFonts w:hint="eastAsia"/>
          <w:szCs w:val="28"/>
        </w:rPr>
        <w:t>市生态环境局于每月10日前收集零散工业废水接收单位的《零散工业废水接收单位废水接收台账月报表》，每月15日前收集各镇街《零散工业废水产生单位废水产生转移台账月报表》汇总。</w:t>
      </w:r>
    </w:p>
    <w:p>
      <w:pPr>
        <w:ind w:firstLine="560"/>
        <w:rPr>
          <w:szCs w:val="28"/>
        </w:rPr>
      </w:pPr>
      <w:r>
        <w:rPr>
          <w:rFonts w:hint="eastAsia"/>
          <w:szCs w:val="28"/>
        </w:rPr>
        <w:t>生态环境管理部门将汇总整理零散工业废水产生单位和零散工业废水接收单位违法信息，定期通过信用信息公示系统依法公示，并通过信用评价体系实行差异化管理。</w:t>
      </w:r>
    </w:p>
    <w:p>
      <w:pPr>
        <w:ind w:firstLine="560"/>
        <w:rPr>
          <w:szCs w:val="28"/>
        </w:rPr>
      </w:pPr>
      <w:r>
        <w:rPr>
          <w:rFonts w:hint="eastAsia"/>
          <w:szCs w:val="28"/>
        </w:rPr>
        <w:t>市生态环境局和零散工业废水接收单位所在地镇街要做好零散工业废水接收单位清单管理。各镇街综合行政执法局（生态环境保护局）根据环评审批、污染调查、专项排查等建立辖区内零散工业废水产生单位清单，实行动态管理，并定期报市生态环境局备案，信息化监管平台建立后应实时更新。</w:t>
      </w:r>
    </w:p>
    <w:p>
      <w:pPr>
        <w:ind w:firstLine="560"/>
        <w:rPr>
          <w:szCs w:val="28"/>
        </w:rPr>
      </w:pPr>
      <w:r>
        <w:rPr>
          <w:rFonts w:hint="eastAsia"/>
          <w:szCs w:val="28"/>
        </w:rPr>
        <w:t>各镇街综合行政执法局（生态环境保护局）负责辖区内零散工业废水集中处理的日常监督管理工作，指导零散工业废水产生单位和接收单位做好废水收集、储存、转移、处理、台账建设管理、联单填写等有关工作。</w:t>
      </w:r>
    </w:p>
    <w:p>
      <w:pPr>
        <w:ind w:firstLine="560"/>
        <w:rPr>
          <w:szCs w:val="28"/>
        </w:rPr>
      </w:pPr>
      <w:r>
        <w:rPr>
          <w:rFonts w:hint="eastAsia"/>
          <w:szCs w:val="28"/>
        </w:rPr>
        <w:t>各镇街综合行政执法局（生态环境保护局）定期收集辖区内零散工业废水产生单位签订的转移处理合同，定期开展转移联单检查，掌握企业零散废水的变化信息，及时反馈。</w:t>
      </w:r>
    </w:p>
    <w:p>
      <w:pPr>
        <w:ind w:firstLine="560"/>
        <w:rPr>
          <w:szCs w:val="28"/>
        </w:rPr>
        <w:sectPr>
          <w:pgSz w:w="11906" w:h="16838"/>
          <w:pgMar w:top="1440" w:right="1440" w:bottom="1440" w:left="1440" w:header="851" w:footer="992" w:gutter="0"/>
          <w:cols w:space="425" w:num="1"/>
          <w:docGrid w:type="lines" w:linePitch="381" w:charSpace="0"/>
        </w:sectPr>
      </w:pPr>
      <w:r>
        <w:rPr>
          <w:rFonts w:hint="eastAsia"/>
          <w:szCs w:val="28"/>
        </w:rPr>
        <w:t>各镇街综合行政执法局（生态环境保护局）于每月10日前收集辖区内《零散工业废水产生单位废水产生转移台账月报表》和《零散工业废水接收单位废水接收台账月报表》，每月1</w:t>
      </w:r>
      <w:r>
        <w:rPr>
          <w:szCs w:val="28"/>
        </w:rPr>
        <w:t>5</w:t>
      </w:r>
      <w:r>
        <w:rPr>
          <w:rFonts w:hint="eastAsia"/>
          <w:szCs w:val="28"/>
        </w:rPr>
        <w:t>日前汇总辖区内《零散工业废水产生单位废水产生转移台账月报表》，并报送市生态环境局。</w:t>
      </w:r>
    </w:p>
    <w:p>
      <w:pPr>
        <w:pStyle w:val="2"/>
        <w:spacing w:before="0" w:after="0"/>
      </w:pPr>
      <w:bookmarkStart w:id="24" w:name="_Toc136254229"/>
      <w:bookmarkStart w:id="25" w:name="_Toc136254231"/>
      <w:r>
        <w:rPr>
          <w:rFonts w:hint="eastAsia"/>
        </w:rPr>
        <w:t>附件</w:t>
      </w:r>
      <w:bookmarkEnd w:id="24"/>
    </w:p>
    <w:p>
      <w:pPr>
        <w:pStyle w:val="3"/>
        <w:numPr>
          <w:ilvl w:val="0"/>
          <w:numId w:val="0"/>
        </w:numPr>
        <w:spacing w:before="0" w:after="0"/>
        <w:rPr>
          <w:rFonts w:hint="eastAsia"/>
        </w:rPr>
      </w:pPr>
    </w:p>
    <w:p>
      <w:pPr>
        <w:pStyle w:val="3"/>
        <w:numPr>
          <w:ilvl w:val="0"/>
          <w:numId w:val="0"/>
        </w:numPr>
        <w:spacing w:before="0" w:after="0"/>
      </w:pPr>
      <w:r>
        <w:rPr>
          <w:rFonts w:hint="eastAsia"/>
        </w:rPr>
        <w:t>附件</w:t>
      </w:r>
      <w:r>
        <w:rPr>
          <w:rFonts w:hint="eastAsia"/>
          <w:lang w:val="en-US" w:eastAsia="zh-CN"/>
        </w:rPr>
        <w:t>1</w:t>
      </w:r>
      <w:r>
        <w:t xml:space="preserve"> </w:t>
      </w:r>
      <w:r>
        <w:rPr>
          <w:rFonts w:hint="eastAsia"/>
        </w:rPr>
        <w:t>《零散工业废水转移联单》模板</w:t>
      </w:r>
      <w:bookmarkEnd w:id="25"/>
    </w:p>
    <w:p>
      <w:pPr>
        <w:ind w:firstLine="0" w:firstLineChars="0"/>
        <w:jc w:val="center"/>
        <w:rPr>
          <w:b/>
          <w:bCs/>
          <w:sz w:val="24"/>
          <w:szCs w:val="20"/>
        </w:rPr>
      </w:pPr>
      <w:r>
        <w:rPr>
          <w:rFonts w:hint="eastAsia"/>
          <w:b/>
          <w:bCs/>
          <w:sz w:val="24"/>
          <w:szCs w:val="20"/>
        </w:rPr>
        <w:t>零散工业废水转移联单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vAlign w:val="center"/>
          </w:tcPr>
          <w:p>
            <w:pPr>
              <w:spacing w:line="240" w:lineRule="auto"/>
              <w:ind w:firstLine="0" w:firstLineChars="0"/>
              <w:jc w:val="center"/>
              <w:rPr>
                <w:rFonts w:ascii="仿宋_GB2312" w:hAnsi="宋体"/>
                <w:b/>
                <w:sz w:val="21"/>
              </w:rPr>
            </w:pPr>
            <w:r>
              <w:rPr>
                <w:rFonts w:hint="eastAsia" w:ascii="仿宋_GB2312" w:hAnsi="宋体"/>
                <w:b/>
                <w:sz w:val="21"/>
              </w:rPr>
              <w:t>第一部分：零散工业废水产生单位填写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pct"/>
            <w:vAlign w:val="center"/>
          </w:tcPr>
          <w:p>
            <w:pPr>
              <w:spacing w:line="240" w:lineRule="auto"/>
              <w:ind w:firstLine="0" w:firstLineChars="0"/>
              <w:rPr>
                <w:rFonts w:ascii="仿宋_GB2312" w:hAnsi="宋体"/>
                <w:sz w:val="21"/>
              </w:rPr>
            </w:pPr>
            <w:r>
              <w:rPr>
                <w:rFonts w:hint="eastAsia" w:ascii="仿宋_GB2312" w:hAnsi="宋体"/>
                <w:sz w:val="21"/>
              </w:rPr>
              <w:t>产生单位名称（盖章）：</w:t>
            </w:r>
            <w:r>
              <w:rPr>
                <w:rFonts w:ascii="仿宋_GB2312" w:hAnsi="宋体"/>
                <w:sz w:val="21"/>
              </w:rPr>
              <w:t>___________________________</w:t>
            </w:r>
          </w:p>
        </w:tc>
        <w:tc>
          <w:tcPr>
            <w:tcW w:w="2258" w:type="pct"/>
            <w:vAlign w:val="center"/>
          </w:tcPr>
          <w:p>
            <w:pPr>
              <w:spacing w:line="240" w:lineRule="auto"/>
              <w:ind w:firstLine="0" w:firstLineChars="0"/>
              <w:jc w:val="left"/>
              <w:rPr>
                <w:rFonts w:ascii="仿宋_GB2312" w:hAnsi="宋体"/>
                <w:sz w:val="21"/>
              </w:rPr>
            </w:pPr>
            <w:r>
              <w:rPr>
                <w:rFonts w:hint="eastAsia" w:ascii="仿宋_GB2312" w:hAnsi="宋体"/>
                <w:sz w:val="21"/>
              </w:rPr>
              <w:t>单位负责人签名：</w:t>
            </w:r>
            <w:r>
              <w:rPr>
                <w:rFonts w:ascii="仿宋_GB2312" w:hAnsi="宋体"/>
                <w:sz w:val="21"/>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pct"/>
            <w:vAlign w:val="center"/>
          </w:tcPr>
          <w:p>
            <w:pPr>
              <w:spacing w:line="240" w:lineRule="auto"/>
              <w:ind w:firstLine="0" w:firstLineChars="0"/>
              <w:jc w:val="left"/>
              <w:rPr>
                <w:rFonts w:ascii="仿宋_GB2312" w:hAnsi="宋体"/>
                <w:sz w:val="21"/>
              </w:rPr>
            </w:pPr>
            <w:r>
              <w:rPr>
                <w:rFonts w:hint="eastAsia" w:ascii="仿宋_GB2312" w:hAnsi="宋体"/>
                <w:sz w:val="21"/>
              </w:rPr>
              <w:t>详细地址：</w:t>
            </w:r>
            <w:r>
              <w:rPr>
                <w:rFonts w:ascii="仿宋_GB2312" w:hAnsi="宋体"/>
                <w:sz w:val="21"/>
              </w:rPr>
              <w:t>___________________________________</w:t>
            </w:r>
          </w:p>
        </w:tc>
        <w:tc>
          <w:tcPr>
            <w:tcW w:w="2258" w:type="pct"/>
            <w:vAlign w:val="center"/>
          </w:tcPr>
          <w:p>
            <w:pPr>
              <w:spacing w:line="240" w:lineRule="auto"/>
              <w:ind w:firstLine="0" w:firstLineChars="0"/>
              <w:rPr>
                <w:rFonts w:ascii="仿宋_GB2312" w:hAnsi="宋体"/>
                <w:sz w:val="21"/>
              </w:rPr>
            </w:pPr>
            <w:r>
              <w:rPr>
                <w:rFonts w:hint="eastAsia" w:ascii="仿宋_GB2312" w:hAnsi="宋体"/>
                <w:sz w:val="21"/>
              </w:rPr>
              <w:t>联系电话：</w:t>
            </w:r>
            <w:r>
              <w:rPr>
                <w:rFonts w:ascii="仿宋_GB2312" w:hAnsi="宋体"/>
                <w:sz w:val="21"/>
              </w:rPr>
              <w:t>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pct"/>
            <w:vAlign w:val="center"/>
          </w:tcPr>
          <w:p>
            <w:pPr>
              <w:spacing w:line="240" w:lineRule="auto"/>
              <w:ind w:firstLine="0" w:firstLineChars="0"/>
              <w:rPr>
                <w:rFonts w:ascii="仿宋_GB2312" w:hAnsi="宋体"/>
                <w:sz w:val="21"/>
              </w:rPr>
            </w:pPr>
            <w:r>
              <w:rPr>
                <w:rFonts w:hint="eastAsia" w:ascii="仿宋_GB2312" w:hAnsi="宋体"/>
                <w:sz w:val="21"/>
              </w:rPr>
              <w:t>转移水量：</w:t>
            </w:r>
            <w:r>
              <w:rPr>
                <w:rFonts w:ascii="仿宋_GB2312" w:hAnsi="宋体"/>
                <w:sz w:val="21"/>
              </w:rPr>
              <w:t>________________</w:t>
            </w:r>
            <w:r>
              <w:rPr>
                <w:rFonts w:hint="eastAsia" w:ascii="仿宋_GB2312" w:hAnsi="宋体"/>
                <w:sz w:val="21"/>
              </w:rPr>
              <w:t>吨</w:t>
            </w:r>
          </w:p>
        </w:tc>
        <w:tc>
          <w:tcPr>
            <w:tcW w:w="2258" w:type="pct"/>
            <w:vAlign w:val="center"/>
          </w:tcPr>
          <w:p>
            <w:pPr>
              <w:spacing w:line="240" w:lineRule="auto"/>
              <w:ind w:firstLine="0" w:firstLineChars="0"/>
              <w:rPr>
                <w:rFonts w:ascii="仿宋_GB2312" w:hAnsi="宋体"/>
                <w:sz w:val="21"/>
              </w:rPr>
            </w:pPr>
            <w:r>
              <w:rPr>
                <w:rFonts w:hint="eastAsia" w:ascii="仿宋_GB2312" w:hAnsi="宋体"/>
                <w:sz w:val="21"/>
              </w:rPr>
              <w:t>废水类型：</w:t>
            </w:r>
            <w:r>
              <w:rPr>
                <w:rFonts w:ascii="仿宋_GB2312" w:hAnsi="宋体"/>
                <w:sz w:val="21"/>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741" w:type="pct"/>
            <w:vAlign w:val="center"/>
          </w:tcPr>
          <w:p>
            <w:pPr>
              <w:spacing w:line="240" w:lineRule="auto"/>
              <w:ind w:firstLine="0" w:firstLineChars="0"/>
              <w:rPr>
                <w:rFonts w:ascii="仿宋_GB2312" w:hAnsi="宋体"/>
                <w:sz w:val="21"/>
              </w:rPr>
            </w:pPr>
            <w:r>
              <w:rPr>
                <w:rFonts w:hint="eastAsia" w:ascii="仿宋_GB2312" w:hAnsi="宋体"/>
                <w:sz w:val="21"/>
              </w:rPr>
              <w:t>储存方式：□地上桶/□地上池/□地埋池/□其他</w:t>
            </w:r>
          </w:p>
          <w:p>
            <w:pPr>
              <w:spacing w:line="240" w:lineRule="auto"/>
              <w:ind w:firstLine="0" w:firstLineChars="0"/>
              <w:rPr>
                <w:rFonts w:ascii="仿宋_GB2312" w:hAnsi="宋体"/>
                <w:sz w:val="21"/>
              </w:rPr>
            </w:pPr>
            <w:r>
              <w:rPr>
                <w:rFonts w:hint="eastAsia" w:ascii="仿宋_GB2312" w:hAnsi="宋体"/>
                <w:sz w:val="21"/>
              </w:rPr>
              <w:t>储存设施数量：</w:t>
            </w:r>
            <w:r>
              <w:rPr>
                <w:rFonts w:ascii="仿宋_GB2312" w:hAnsi="宋体"/>
                <w:sz w:val="21"/>
              </w:rPr>
              <w:t>____</w:t>
            </w:r>
            <w:r>
              <w:rPr>
                <w:rFonts w:hint="eastAsia" w:ascii="仿宋_GB2312" w:hAnsi="宋体"/>
                <w:sz w:val="21"/>
              </w:rPr>
              <w:t>个；储存设施总容积：</w:t>
            </w:r>
            <w:r>
              <w:rPr>
                <w:rFonts w:ascii="仿宋_GB2312" w:hAnsi="宋体"/>
                <w:sz w:val="21"/>
              </w:rPr>
              <w:t>_____</w:t>
            </w:r>
            <w:r>
              <w:rPr>
                <w:rFonts w:hint="eastAsia" w:ascii="仿宋_GB2312" w:hAnsi="宋体"/>
                <w:sz w:val="21"/>
              </w:rPr>
              <w:t>吨</w:t>
            </w:r>
          </w:p>
        </w:tc>
        <w:tc>
          <w:tcPr>
            <w:tcW w:w="2258" w:type="pct"/>
            <w:vAlign w:val="center"/>
          </w:tcPr>
          <w:p>
            <w:pPr>
              <w:spacing w:line="240" w:lineRule="auto"/>
              <w:ind w:firstLine="0" w:firstLineChars="0"/>
              <w:rPr>
                <w:rFonts w:ascii="仿宋_GB2312" w:hAnsi="宋体"/>
                <w:sz w:val="21"/>
              </w:rPr>
            </w:pPr>
            <w:r>
              <w:rPr>
                <w:rFonts w:hint="eastAsia" w:ascii="仿宋_GB2312" w:hAnsi="宋体"/>
                <w:sz w:val="21"/>
              </w:rPr>
              <w:t>转移日期：</w:t>
            </w:r>
            <w:r>
              <w:rPr>
                <w:rFonts w:ascii="仿宋_GB2312" w:hAnsi="宋体"/>
                <w:sz w:val="21"/>
              </w:rPr>
              <w:t>______</w:t>
            </w:r>
            <w:r>
              <w:rPr>
                <w:rFonts w:hint="eastAsia" w:ascii="仿宋_GB2312" w:hAnsi="宋体"/>
                <w:sz w:val="21"/>
              </w:rPr>
              <w:t>年</w:t>
            </w:r>
            <w:r>
              <w:rPr>
                <w:rFonts w:ascii="仿宋_GB2312" w:hAnsi="宋体"/>
                <w:sz w:val="21"/>
              </w:rPr>
              <w:t>______</w:t>
            </w:r>
            <w:r>
              <w:rPr>
                <w:rFonts w:hint="eastAsia" w:ascii="仿宋_GB2312" w:hAnsi="宋体"/>
                <w:sz w:val="21"/>
              </w:rPr>
              <w:t>月</w:t>
            </w:r>
            <w:r>
              <w:rPr>
                <w:rFonts w:ascii="仿宋_GB2312" w:hAnsi="宋体"/>
                <w:sz w:val="21"/>
              </w:rPr>
              <w:t>______</w:t>
            </w:r>
            <w:r>
              <w:rPr>
                <w:rFonts w:hint="eastAsia" w:ascii="仿宋_GB2312" w:hAnsi="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vAlign w:val="center"/>
          </w:tcPr>
          <w:p>
            <w:pPr>
              <w:spacing w:line="240" w:lineRule="auto"/>
              <w:ind w:firstLine="0" w:firstLineChars="0"/>
              <w:jc w:val="center"/>
              <w:rPr>
                <w:rFonts w:ascii="仿宋_GB2312" w:hAnsi="宋体"/>
                <w:sz w:val="21"/>
              </w:rPr>
            </w:pPr>
            <w:r>
              <w:rPr>
                <w:rFonts w:hint="eastAsia" w:ascii="仿宋_GB2312" w:hAnsi="宋体"/>
                <w:b/>
                <w:sz w:val="21"/>
              </w:rPr>
              <w:t>第二部分：零散工业废水接收单位填写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vAlign w:val="center"/>
          </w:tcPr>
          <w:p>
            <w:pPr>
              <w:spacing w:line="240" w:lineRule="auto"/>
              <w:ind w:firstLine="0" w:firstLineChars="0"/>
              <w:rPr>
                <w:rFonts w:ascii="仿宋_GB2312" w:hAnsi="宋体"/>
                <w:sz w:val="21"/>
              </w:rPr>
            </w:pPr>
            <w:r>
              <w:rPr>
                <w:rFonts w:hint="eastAsia" w:ascii="仿宋_GB2312" w:hAnsi="宋体"/>
                <w:sz w:val="21"/>
              </w:rPr>
              <w:t>接收单位须知：你必须核对以上栏目事项，当与实际情况不符时，有权拒绝接受。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vAlign w:val="center"/>
          </w:tcPr>
          <w:p>
            <w:pPr>
              <w:spacing w:line="240" w:lineRule="auto"/>
              <w:ind w:firstLine="0" w:firstLineChars="0"/>
              <w:rPr>
                <w:rFonts w:ascii="仿宋_GB2312" w:hAnsi="宋体"/>
                <w:sz w:val="21"/>
              </w:rPr>
            </w:pPr>
            <w:r>
              <w:rPr>
                <w:rFonts w:hint="eastAsia" w:ascii="仿宋_GB2312" w:hAnsi="宋体"/>
                <w:sz w:val="21"/>
              </w:rPr>
              <w:t>接收单位名称（盖章）：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pct"/>
            <w:vAlign w:val="center"/>
          </w:tcPr>
          <w:p>
            <w:pPr>
              <w:spacing w:line="240" w:lineRule="auto"/>
              <w:ind w:firstLine="0" w:firstLineChars="0"/>
              <w:rPr>
                <w:rFonts w:ascii="仿宋_GB2312" w:hAnsi="宋体"/>
                <w:sz w:val="21"/>
              </w:rPr>
            </w:pPr>
            <w:r>
              <w:rPr>
                <w:rFonts w:hint="eastAsia" w:ascii="仿宋_GB2312" w:hAnsi="宋体"/>
                <w:sz w:val="21"/>
              </w:rPr>
              <w:t>详细地址：</w:t>
            </w:r>
            <w:r>
              <w:rPr>
                <w:rFonts w:ascii="仿宋_GB2312" w:hAnsi="宋体"/>
                <w:sz w:val="21"/>
              </w:rPr>
              <w:t>___________________________________</w:t>
            </w:r>
          </w:p>
        </w:tc>
        <w:tc>
          <w:tcPr>
            <w:tcW w:w="2258" w:type="pct"/>
            <w:vAlign w:val="center"/>
          </w:tcPr>
          <w:p>
            <w:pPr>
              <w:spacing w:line="240" w:lineRule="auto"/>
              <w:ind w:firstLine="0" w:firstLineChars="0"/>
              <w:rPr>
                <w:rFonts w:ascii="仿宋_GB2312" w:hAnsi="宋体"/>
                <w:sz w:val="21"/>
              </w:rPr>
            </w:pPr>
            <w:r>
              <w:rPr>
                <w:rFonts w:hint="eastAsia" w:ascii="仿宋_GB2312" w:hAnsi="宋体"/>
                <w:sz w:val="21"/>
              </w:rPr>
              <w:t>联系电话：</w:t>
            </w:r>
            <w:r>
              <w:rPr>
                <w:rFonts w:ascii="仿宋_GB2312" w:hAnsi="宋体"/>
                <w:sz w:val="21"/>
              </w:rPr>
              <w:t>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pct"/>
            <w:vAlign w:val="center"/>
          </w:tcPr>
          <w:p>
            <w:pPr>
              <w:spacing w:line="240" w:lineRule="auto"/>
              <w:ind w:firstLine="0" w:firstLineChars="0"/>
              <w:rPr>
                <w:rFonts w:ascii="仿宋_GB2312" w:hAnsi="宋体"/>
                <w:sz w:val="21"/>
              </w:rPr>
            </w:pPr>
            <w:r>
              <w:rPr>
                <w:rFonts w:hint="eastAsia" w:ascii="仿宋_GB2312" w:hAnsi="宋体"/>
                <w:sz w:val="21"/>
              </w:rPr>
              <w:t>运输车辆号牌：</w:t>
            </w:r>
            <w:r>
              <w:rPr>
                <w:rFonts w:ascii="仿宋_GB2312" w:hAnsi="宋体"/>
                <w:sz w:val="21"/>
              </w:rPr>
              <w:t>________________________</w:t>
            </w:r>
          </w:p>
        </w:tc>
        <w:tc>
          <w:tcPr>
            <w:tcW w:w="2258" w:type="pct"/>
            <w:vAlign w:val="center"/>
          </w:tcPr>
          <w:p>
            <w:pPr>
              <w:spacing w:line="240" w:lineRule="auto"/>
              <w:ind w:firstLine="0" w:firstLineChars="0"/>
              <w:rPr>
                <w:rFonts w:ascii="仿宋_GB2312" w:hAnsi="宋体"/>
                <w:sz w:val="21"/>
              </w:rPr>
            </w:pPr>
            <w:r>
              <w:rPr>
                <w:rFonts w:hint="eastAsia" w:ascii="仿宋_GB2312" w:hAnsi="宋体"/>
                <w:sz w:val="21"/>
              </w:rPr>
              <w:t>运输司机签名：</w:t>
            </w:r>
            <w:r>
              <w:rPr>
                <w:rFonts w:ascii="仿宋_GB2312" w:hAnsi="宋体"/>
                <w:sz w:val="21"/>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2"/>
            <w:vAlign w:val="center"/>
          </w:tcPr>
          <w:p>
            <w:pPr>
              <w:spacing w:line="240" w:lineRule="auto"/>
              <w:ind w:firstLine="0" w:firstLineChars="0"/>
              <w:rPr>
                <w:rFonts w:ascii="仿宋_GB2312" w:hAnsi="宋体"/>
                <w:sz w:val="21"/>
              </w:rPr>
            </w:pPr>
            <w:r>
              <w:rPr>
                <w:rFonts w:hint="eastAsia" w:ascii="仿宋_GB2312" w:hAnsi="宋体"/>
                <w:sz w:val="21"/>
              </w:rPr>
              <w:t>说明：1、零散工业废水转移联单一式两份。第一联由零散工业废水接收单位存档；第二联由零散工业废水产生单位存档。2、联单由产生单位和接收单位盖章签字后，即视为该次联单的全部内容合法生效。3、转移联单应专档管理并妥善保存。</w:t>
            </w:r>
          </w:p>
        </w:tc>
      </w:tr>
    </w:tbl>
    <w:p>
      <w:pPr>
        <w:ind w:firstLine="0" w:firstLineChars="0"/>
        <w:rPr>
          <w:sz w:val="24"/>
          <w:szCs w:val="20"/>
        </w:rPr>
        <w:sectPr>
          <w:pgSz w:w="11906" w:h="16838"/>
          <w:pgMar w:top="1440" w:right="1440" w:bottom="1440" w:left="1440" w:header="851" w:footer="992" w:gutter="0"/>
          <w:cols w:space="425" w:num="1"/>
          <w:docGrid w:type="lines" w:linePitch="312" w:charSpace="0"/>
        </w:sectPr>
      </w:pPr>
    </w:p>
    <w:p>
      <w:pPr>
        <w:pStyle w:val="3"/>
        <w:numPr>
          <w:ilvl w:val="0"/>
          <w:numId w:val="0"/>
        </w:numPr>
        <w:spacing w:before="0" w:after="0"/>
      </w:pPr>
      <w:bookmarkStart w:id="26" w:name="_Toc136254232"/>
      <w:r>
        <w:rPr>
          <w:rFonts w:hint="eastAsia"/>
        </w:rPr>
        <w:t>附件</w:t>
      </w:r>
      <w:r>
        <w:rPr>
          <w:rFonts w:hint="eastAsia"/>
          <w:lang w:val="en-US" w:eastAsia="zh-CN"/>
        </w:rPr>
        <w:t>2</w:t>
      </w:r>
      <w:r>
        <w:t xml:space="preserve"> </w:t>
      </w:r>
      <w:r>
        <w:rPr>
          <w:rFonts w:hint="eastAsia"/>
        </w:rPr>
        <w:t>《零散工业废水接收单位废水接收台账月报表》模板</w:t>
      </w:r>
      <w:bookmarkEnd w:id="26"/>
    </w:p>
    <w:p>
      <w:pPr>
        <w:ind w:firstLine="0" w:firstLineChars="0"/>
        <w:rPr>
          <w:b/>
          <w:bCs/>
          <w:sz w:val="24"/>
          <w:szCs w:val="20"/>
        </w:rPr>
      </w:pPr>
      <w:r>
        <w:rPr>
          <w:rFonts w:hint="eastAsia"/>
          <w:b/>
          <w:bCs/>
          <w:sz w:val="24"/>
          <w:szCs w:val="20"/>
        </w:rPr>
        <w:t xml:space="preserve">接收单位名称：                         地址：                   </w:t>
      </w:r>
    </w:p>
    <w:tbl>
      <w:tblPr>
        <w:tblStyle w:val="17"/>
        <w:tblW w:w="5000" w:type="pct"/>
        <w:tblInd w:w="0" w:type="dxa"/>
        <w:tblLayout w:type="autofit"/>
        <w:tblCellMar>
          <w:top w:w="0" w:type="dxa"/>
          <w:left w:w="108" w:type="dxa"/>
          <w:bottom w:w="0" w:type="dxa"/>
          <w:right w:w="108" w:type="dxa"/>
        </w:tblCellMar>
      </w:tblPr>
      <w:tblGrid>
        <w:gridCol w:w="674"/>
        <w:gridCol w:w="1500"/>
        <w:gridCol w:w="1500"/>
        <w:gridCol w:w="1500"/>
        <w:gridCol w:w="1500"/>
        <w:gridCol w:w="1500"/>
        <w:gridCol w:w="1500"/>
        <w:gridCol w:w="1500"/>
        <w:gridCol w:w="1500"/>
        <w:gridCol w:w="1500"/>
      </w:tblGrid>
      <w:tr>
        <w:tblPrEx>
          <w:tblCellMar>
            <w:top w:w="0" w:type="dxa"/>
            <w:left w:w="108" w:type="dxa"/>
            <w:bottom w:w="0" w:type="dxa"/>
            <w:right w:w="108"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产生单位名称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产生单位地址</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产生单位镇街</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废水转移时间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废水类型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废水转移量（吨）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运输人员名称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运输车辆号码</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备注</w:t>
            </w:r>
          </w:p>
        </w:tc>
      </w:tr>
      <w:tr>
        <w:tblPrEx>
          <w:tblCellMar>
            <w:top w:w="0" w:type="dxa"/>
            <w:left w:w="108" w:type="dxa"/>
            <w:bottom w:w="0" w:type="dxa"/>
            <w:right w:w="108"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例</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2023.4.25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印刷清洗废水</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XXX</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其他特殊情况说明</w:t>
            </w:r>
          </w:p>
        </w:tc>
      </w:tr>
      <w:tr>
        <w:tblPrEx>
          <w:tblCellMar>
            <w:top w:w="0" w:type="dxa"/>
            <w:left w:w="108" w:type="dxa"/>
            <w:bottom w:w="0" w:type="dxa"/>
            <w:right w:w="108" w:type="dxa"/>
          </w:tblCellMar>
        </w:tblPrEx>
        <w:trPr>
          <w:trHeight w:val="31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r>
      <w:tr>
        <w:tblPrEx>
          <w:tblCellMar>
            <w:top w:w="0" w:type="dxa"/>
            <w:left w:w="108" w:type="dxa"/>
            <w:bottom w:w="0" w:type="dxa"/>
            <w:right w:w="108" w:type="dxa"/>
          </w:tblCellMar>
        </w:tblPrEx>
        <w:trPr>
          <w:trHeight w:val="31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r>
      <w:tr>
        <w:tblPrEx>
          <w:tblCellMar>
            <w:top w:w="0" w:type="dxa"/>
            <w:left w:w="108" w:type="dxa"/>
            <w:bottom w:w="0" w:type="dxa"/>
            <w:right w:w="108" w:type="dxa"/>
          </w:tblCellMar>
        </w:tblPrEx>
        <w:trPr>
          <w:trHeight w:val="31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r>
      <w:tr>
        <w:tblPrEx>
          <w:tblCellMar>
            <w:top w:w="0" w:type="dxa"/>
            <w:left w:w="108" w:type="dxa"/>
            <w:bottom w:w="0" w:type="dxa"/>
            <w:right w:w="108" w:type="dxa"/>
          </w:tblCellMar>
        </w:tblPrEx>
        <w:trPr>
          <w:trHeight w:val="31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1"/>
              </w:rPr>
            </w:pPr>
          </w:p>
        </w:tc>
      </w:tr>
    </w:tbl>
    <w:p>
      <w:pPr>
        <w:ind w:firstLine="0" w:firstLineChars="0"/>
        <w:rPr>
          <w:sz w:val="24"/>
          <w:szCs w:val="20"/>
        </w:rPr>
      </w:pPr>
      <w:r>
        <w:rPr>
          <w:sz w:val="24"/>
          <w:szCs w:val="20"/>
        </w:rPr>
        <w:br w:type="page"/>
      </w:r>
    </w:p>
    <w:p>
      <w:pPr>
        <w:pStyle w:val="3"/>
        <w:numPr>
          <w:ilvl w:val="0"/>
          <w:numId w:val="0"/>
        </w:numPr>
        <w:spacing w:before="0" w:after="0"/>
      </w:pPr>
      <w:bookmarkStart w:id="27" w:name="_Toc136254233"/>
      <w:r>
        <w:rPr>
          <w:rFonts w:hint="eastAsia"/>
        </w:rPr>
        <w:t>附件</w:t>
      </w:r>
      <w:r>
        <w:rPr>
          <w:rFonts w:hint="eastAsia"/>
          <w:lang w:val="en-US" w:eastAsia="zh-CN"/>
        </w:rPr>
        <w:t>3</w:t>
      </w:r>
      <w:r>
        <w:t xml:space="preserve"> </w:t>
      </w:r>
      <w:r>
        <w:rPr>
          <w:rFonts w:hint="eastAsia"/>
        </w:rPr>
        <w:t>《零散工业废水产生单位废水产生转移台账月报表》模板</w:t>
      </w:r>
      <w:bookmarkEnd w:id="27"/>
    </w:p>
    <w:p>
      <w:pPr>
        <w:ind w:firstLine="0" w:firstLineChars="0"/>
        <w:rPr>
          <w:b/>
          <w:bCs/>
          <w:sz w:val="24"/>
          <w:szCs w:val="20"/>
        </w:rPr>
      </w:pPr>
      <w:r>
        <w:rPr>
          <w:rFonts w:hint="eastAsia"/>
          <w:b/>
          <w:bCs/>
          <w:sz w:val="24"/>
          <w:szCs w:val="20"/>
        </w:rPr>
        <w:t xml:space="preserve">产生单位名称：                         地址：                   </w:t>
      </w:r>
    </w:p>
    <w:tbl>
      <w:tblPr>
        <w:tblStyle w:val="17"/>
        <w:tblW w:w="5000" w:type="pct"/>
        <w:tblInd w:w="0" w:type="dxa"/>
        <w:tblLayout w:type="autofit"/>
        <w:tblCellMar>
          <w:top w:w="0" w:type="dxa"/>
          <w:left w:w="108" w:type="dxa"/>
          <w:bottom w:w="0" w:type="dxa"/>
          <w:right w:w="108" w:type="dxa"/>
        </w:tblCellMar>
      </w:tblPr>
      <w:tblGrid>
        <w:gridCol w:w="933"/>
        <w:gridCol w:w="1285"/>
        <w:gridCol w:w="933"/>
        <w:gridCol w:w="933"/>
        <w:gridCol w:w="933"/>
        <w:gridCol w:w="933"/>
        <w:gridCol w:w="933"/>
        <w:gridCol w:w="1146"/>
        <w:gridCol w:w="934"/>
        <w:gridCol w:w="1285"/>
        <w:gridCol w:w="934"/>
        <w:gridCol w:w="934"/>
        <w:gridCol w:w="1124"/>
        <w:gridCol w:w="934"/>
      </w:tblGrid>
      <w:tr>
        <w:tblPrEx>
          <w:tblCellMar>
            <w:top w:w="0" w:type="dxa"/>
            <w:left w:w="108" w:type="dxa"/>
            <w:bottom w:w="0" w:type="dxa"/>
            <w:right w:w="108" w:type="dxa"/>
          </w:tblCellMar>
        </w:tblPrEx>
        <w:trPr>
          <w:trHeight w:val="342"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序号</w:t>
            </w:r>
          </w:p>
        </w:tc>
        <w:tc>
          <w:tcPr>
            <w:tcW w:w="250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废水产生及储存情况</w:t>
            </w:r>
          </w:p>
        </w:tc>
        <w:tc>
          <w:tcPr>
            <w:tcW w:w="18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废水转移情况</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备注</w:t>
            </w:r>
          </w:p>
        </w:tc>
      </w:tr>
      <w:tr>
        <w:tblPrEx>
          <w:tblCellMar>
            <w:top w:w="0" w:type="dxa"/>
            <w:left w:w="108" w:type="dxa"/>
            <w:bottom w:w="0" w:type="dxa"/>
            <w:right w:w="108" w:type="dxa"/>
          </w:tblCellMar>
        </w:tblPrEx>
        <w:trPr>
          <w:trHeight w:val="1060" w:hRule="atLeast"/>
        </w:trPr>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宋体"/>
                <w:color w:val="000000"/>
                <w:kern w:val="0"/>
                <w:sz w:val="21"/>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填写日期</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废水类型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产生工序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当月生产用水量（吨）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废水储存设施数量（个）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废水储存设施类型</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填写时废水剩余储存量（吨）</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当月是否转移废水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转移日期</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转移去向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转移数量（吨）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转移后废水剩余储存量（吨）</w:t>
            </w:r>
          </w:p>
        </w:tc>
        <w:tc>
          <w:tcPr>
            <w:tcW w:w="347"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宋体"/>
                <w:color w:val="000000"/>
                <w:kern w:val="0"/>
                <w:sz w:val="21"/>
              </w:rPr>
            </w:pPr>
          </w:p>
        </w:tc>
      </w:tr>
      <w:tr>
        <w:tblPrEx>
          <w:tblCellMar>
            <w:top w:w="0" w:type="dxa"/>
            <w:left w:w="108" w:type="dxa"/>
            <w:bottom w:w="0" w:type="dxa"/>
            <w:right w:w="108" w:type="dxa"/>
          </w:tblCellMar>
        </w:tblPrEx>
        <w:trPr>
          <w:trHeight w:val="86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2023.4.20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印刷清洗废水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印刷机清洗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地上池</w:t>
            </w:r>
            <w:r>
              <w:rPr>
                <w:rFonts w:eastAsia="宋体"/>
                <w:color w:val="000000"/>
                <w:kern w:val="0"/>
                <w:sz w:val="21"/>
              </w:rPr>
              <w:t>/</w:t>
            </w:r>
            <w:r>
              <w:rPr>
                <w:rFonts w:ascii="仿宋_GB2312"/>
                <w:color w:val="000000"/>
                <w:kern w:val="0"/>
                <w:sz w:val="21"/>
              </w:rPr>
              <w:t>地下池</w:t>
            </w:r>
            <w:r>
              <w:rPr>
                <w:rFonts w:eastAsia="宋体"/>
                <w:color w:val="000000"/>
                <w:kern w:val="0"/>
                <w:sz w:val="21"/>
              </w:rPr>
              <w:t>/</w:t>
            </w:r>
            <w:r>
              <w:rPr>
                <w:rFonts w:ascii="仿宋_GB2312"/>
                <w:color w:val="000000"/>
                <w:kern w:val="0"/>
                <w:sz w:val="21"/>
              </w:rPr>
              <w:t>地上桶</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是</w:t>
            </w:r>
            <w:r>
              <w:rPr>
                <w:rFonts w:eastAsia="宋体"/>
                <w:color w:val="000000"/>
                <w:kern w:val="0"/>
                <w:sz w:val="21"/>
              </w:rPr>
              <w:t>/</w:t>
            </w:r>
            <w:r>
              <w:rPr>
                <w:rFonts w:ascii="仿宋_GB2312"/>
                <w:color w:val="000000"/>
                <w:kern w:val="0"/>
                <w:sz w:val="21"/>
              </w:rPr>
              <w:t>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2023.4.25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XXXX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eastAsia="宋体"/>
                <w:color w:val="000000"/>
                <w:kern w:val="0"/>
                <w:sz w:val="21"/>
              </w:rPr>
              <w:t>XX</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r>
              <w:rPr>
                <w:rFonts w:ascii="仿宋_GB2312"/>
                <w:color w:val="000000"/>
                <w:kern w:val="0"/>
                <w:sz w:val="21"/>
              </w:rPr>
              <w:t>其他特殊情况说明</w:t>
            </w:r>
          </w:p>
        </w:tc>
      </w:tr>
      <w:tr>
        <w:tblPrEx>
          <w:tblCellMar>
            <w:top w:w="0" w:type="dxa"/>
            <w:left w:w="108" w:type="dxa"/>
            <w:bottom w:w="0" w:type="dxa"/>
            <w:right w:w="108" w:type="dxa"/>
          </w:tblCellMar>
        </w:tblPrEx>
        <w:trPr>
          <w:trHeight w:val="31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kern w:val="0"/>
                <w:sz w:val="21"/>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r>
      <w:tr>
        <w:tblPrEx>
          <w:tblCellMar>
            <w:top w:w="0" w:type="dxa"/>
            <w:left w:w="108" w:type="dxa"/>
            <w:bottom w:w="0" w:type="dxa"/>
            <w:right w:w="108" w:type="dxa"/>
          </w:tblCellMar>
        </w:tblPrEx>
        <w:trPr>
          <w:trHeight w:val="31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r>
      <w:tr>
        <w:tblPrEx>
          <w:tblCellMar>
            <w:top w:w="0" w:type="dxa"/>
            <w:left w:w="108" w:type="dxa"/>
            <w:bottom w:w="0" w:type="dxa"/>
            <w:right w:w="108" w:type="dxa"/>
          </w:tblCellMar>
        </w:tblPrEx>
        <w:trPr>
          <w:trHeight w:val="31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r>
      <w:tr>
        <w:tblPrEx>
          <w:tblCellMar>
            <w:top w:w="0" w:type="dxa"/>
            <w:left w:w="108" w:type="dxa"/>
            <w:bottom w:w="0" w:type="dxa"/>
            <w:right w:w="108" w:type="dxa"/>
          </w:tblCellMar>
        </w:tblPrEx>
        <w:trPr>
          <w:trHeight w:val="31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kern w:val="0"/>
                <w:sz w:val="20"/>
                <w:szCs w:val="20"/>
              </w:rPr>
            </w:pPr>
          </w:p>
        </w:tc>
      </w:tr>
    </w:tbl>
    <w:p>
      <w:pPr>
        <w:ind w:firstLine="0" w:firstLineChars="0"/>
        <w:rPr>
          <w:b/>
          <w:bCs/>
          <w:sz w:val="24"/>
          <w:szCs w:val="20"/>
        </w:rPr>
      </w:pPr>
    </w:p>
    <w:p>
      <w:pPr>
        <w:ind w:firstLine="0" w:firstLineChars="0"/>
        <w:rPr>
          <w:sz w:val="24"/>
          <w:szCs w:val="20"/>
        </w:rPr>
      </w:pPr>
    </w:p>
    <w:sectPr>
      <w:pgSz w:w="16838" w:h="11906" w:orient="landscape"/>
      <w:pgMar w:top="1440" w:right="1440" w:bottom="144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19698"/>
      <w:docPartObj>
        <w:docPartGallery w:val="autotext"/>
      </w:docPartObj>
    </w:sdtPr>
    <w:sdtContent>
      <w:p>
        <w:pPr>
          <w:pStyle w:val="12"/>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41FC6"/>
    <w:multiLevelType w:val="multilevel"/>
    <w:tmpl w:val="24C41FC6"/>
    <w:lvl w:ilvl="0" w:tentative="0">
      <w:start w:val="1"/>
      <w:numFmt w:val="decimal"/>
      <w:lvlText w:val="（%1）"/>
      <w:lvlJc w:val="left"/>
      <w:pPr>
        <w:ind w:left="1000" w:hanging="44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E6254A1"/>
    <w:multiLevelType w:val="multilevel"/>
    <w:tmpl w:val="7E6254A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lvlRestart w:val="2"/>
      <w:pStyle w:val="6"/>
      <w:isLgl/>
      <w:suff w:val="space"/>
      <w:lvlText w:val="表%1.%2-%5"/>
      <w:lvlJc w:val="left"/>
      <w:pPr>
        <w:ind w:left="0" w:firstLine="0"/>
      </w:pPr>
      <w:rPr>
        <w:rFonts w:hint="eastAsia"/>
      </w:rPr>
    </w:lvl>
    <w:lvl w:ilvl="5" w:tentative="0">
      <w:start w:val="1"/>
      <w:numFmt w:val="decimal"/>
      <w:lvlRestart w:val="2"/>
      <w:pStyle w:val="7"/>
      <w:isLgl/>
      <w:suff w:val="space"/>
      <w:lvlText w:val="图%1.%2-%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lvlText w:val="%1.%2.%3.%4.%5.%6.%7.%8"/>
      <w:lvlJc w:val="left"/>
      <w:pPr>
        <w:ind w:left="0" w:firstLine="0"/>
      </w:pPr>
      <w:rPr>
        <w:rFonts w:hint="eastAsia"/>
      </w:rPr>
    </w:lvl>
    <w:lvl w:ilvl="8" w:tentative="0">
      <w:start w:val="1"/>
      <w:numFmt w:val="decimal"/>
      <w:pStyle w:val="10"/>
      <w:isLg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69"/>
    <w:rsid w:val="0000275D"/>
    <w:rsid w:val="00002EEF"/>
    <w:rsid w:val="00003B03"/>
    <w:rsid w:val="00004BBF"/>
    <w:rsid w:val="00014D81"/>
    <w:rsid w:val="00014DDF"/>
    <w:rsid w:val="00017173"/>
    <w:rsid w:val="000223D7"/>
    <w:rsid w:val="000236AE"/>
    <w:rsid w:val="000266EA"/>
    <w:rsid w:val="0003670A"/>
    <w:rsid w:val="00040ABC"/>
    <w:rsid w:val="00042CE3"/>
    <w:rsid w:val="00057049"/>
    <w:rsid w:val="00057E60"/>
    <w:rsid w:val="0006259C"/>
    <w:rsid w:val="00063116"/>
    <w:rsid w:val="00063CDD"/>
    <w:rsid w:val="000721AD"/>
    <w:rsid w:val="000721FA"/>
    <w:rsid w:val="00080E2C"/>
    <w:rsid w:val="00083AB1"/>
    <w:rsid w:val="0008471A"/>
    <w:rsid w:val="000848B2"/>
    <w:rsid w:val="00087791"/>
    <w:rsid w:val="00095CC0"/>
    <w:rsid w:val="000A4F83"/>
    <w:rsid w:val="000B1797"/>
    <w:rsid w:val="000D205F"/>
    <w:rsid w:val="000D2EBB"/>
    <w:rsid w:val="000D5A29"/>
    <w:rsid w:val="000D5D20"/>
    <w:rsid w:val="000E64D0"/>
    <w:rsid w:val="000E77EF"/>
    <w:rsid w:val="000F0EA2"/>
    <w:rsid w:val="000F486D"/>
    <w:rsid w:val="000F5C3A"/>
    <w:rsid w:val="00104523"/>
    <w:rsid w:val="00107B0B"/>
    <w:rsid w:val="001109D5"/>
    <w:rsid w:val="00132728"/>
    <w:rsid w:val="00133249"/>
    <w:rsid w:val="00142DB1"/>
    <w:rsid w:val="0017094B"/>
    <w:rsid w:val="00182CE7"/>
    <w:rsid w:val="00196389"/>
    <w:rsid w:val="001A2ADC"/>
    <w:rsid w:val="001A59C5"/>
    <w:rsid w:val="001B1F83"/>
    <w:rsid w:val="001B74FE"/>
    <w:rsid w:val="001C1967"/>
    <w:rsid w:val="001C2E24"/>
    <w:rsid w:val="001C593D"/>
    <w:rsid w:val="001C6EA3"/>
    <w:rsid w:val="001D31CF"/>
    <w:rsid w:val="001D3A63"/>
    <w:rsid w:val="001D7405"/>
    <w:rsid w:val="001E0440"/>
    <w:rsid w:val="001E2D6F"/>
    <w:rsid w:val="001E5247"/>
    <w:rsid w:val="001F55E2"/>
    <w:rsid w:val="001F651D"/>
    <w:rsid w:val="00210F55"/>
    <w:rsid w:val="002160DC"/>
    <w:rsid w:val="0021694D"/>
    <w:rsid w:val="00234D6B"/>
    <w:rsid w:val="002369BE"/>
    <w:rsid w:val="00244E11"/>
    <w:rsid w:val="002542CD"/>
    <w:rsid w:val="002605BF"/>
    <w:rsid w:val="00270510"/>
    <w:rsid w:val="002865DD"/>
    <w:rsid w:val="0029018C"/>
    <w:rsid w:val="00291C5C"/>
    <w:rsid w:val="00293DCA"/>
    <w:rsid w:val="00294343"/>
    <w:rsid w:val="00295225"/>
    <w:rsid w:val="00296E35"/>
    <w:rsid w:val="002B1E41"/>
    <w:rsid w:val="002B2851"/>
    <w:rsid w:val="002B2F59"/>
    <w:rsid w:val="002B6CB2"/>
    <w:rsid w:val="002C09B0"/>
    <w:rsid w:val="002C3EF6"/>
    <w:rsid w:val="002C58A8"/>
    <w:rsid w:val="002E0EEC"/>
    <w:rsid w:val="002E5993"/>
    <w:rsid w:val="00317186"/>
    <w:rsid w:val="003216EA"/>
    <w:rsid w:val="00321C52"/>
    <w:rsid w:val="003230F0"/>
    <w:rsid w:val="0033625C"/>
    <w:rsid w:val="00344FC1"/>
    <w:rsid w:val="0035197C"/>
    <w:rsid w:val="003607E3"/>
    <w:rsid w:val="00360A0C"/>
    <w:rsid w:val="003673C6"/>
    <w:rsid w:val="00373DF4"/>
    <w:rsid w:val="00377381"/>
    <w:rsid w:val="00381EEA"/>
    <w:rsid w:val="00382A85"/>
    <w:rsid w:val="003847A7"/>
    <w:rsid w:val="00397026"/>
    <w:rsid w:val="003A659F"/>
    <w:rsid w:val="003B3A75"/>
    <w:rsid w:val="003D3925"/>
    <w:rsid w:val="003D5220"/>
    <w:rsid w:val="003D6C83"/>
    <w:rsid w:val="003D7C97"/>
    <w:rsid w:val="003E6754"/>
    <w:rsid w:val="003F24C8"/>
    <w:rsid w:val="004057F4"/>
    <w:rsid w:val="00411A96"/>
    <w:rsid w:val="00436E43"/>
    <w:rsid w:val="0045161F"/>
    <w:rsid w:val="00453D6B"/>
    <w:rsid w:val="0045604F"/>
    <w:rsid w:val="0045617F"/>
    <w:rsid w:val="004611F1"/>
    <w:rsid w:val="004672F9"/>
    <w:rsid w:val="0047644B"/>
    <w:rsid w:val="004849EC"/>
    <w:rsid w:val="004948C3"/>
    <w:rsid w:val="004A10C6"/>
    <w:rsid w:val="004A1AD4"/>
    <w:rsid w:val="004A2A99"/>
    <w:rsid w:val="004A573C"/>
    <w:rsid w:val="004A69AC"/>
    <w:rsid w:val="004A6FF2"/>
    <w:rsid w:val="004D00FB"/>
    <w:rsid w:val="004D2744"/>
    <w:rsid w:val="004D3C43"/>
    <w:rsid w:val="004E2A94"/>
    <w:rsid w:val="004F2C06"/>
    <w:rsid w:val="004F566D"/>
    <w:rsid w:val="0050545F"/>
    <w:rsid w:val="005059F6"/>
    <w:rsid w:val="00535AF6"/>
    <w:rsid w:val="00543C87"/>
    <w:rsid w:val="00545C19"/>
    <w:rsid w:val="005559A9"/>
    <w:rsid w:val="00566B03"/>
    <w:rsid w:val="005711B6"/>
    <w:rsid w:val="00573097"/>
    <w:rsid w:val="0058209B"/>
    <w:rsid w:val="005820C1"/>
    <w:rsid w:val="00583DFF"/>
    <w:rsid w:val="00591D40"/>
    <w:rsid w:val="00592FD7"/>
    <w:rsid w:val="005B6201"/>
    <w:rsid w:val="005D4923"/>
    <w:rsid w:val="005E1375"/>
    <w:rsid w:val="005E6BA1"/>
    <w:rsid w:val="005F1D69"/>
    <w:rsid w:val="005F3673"/>
    <w:rsid w:val="00621E83"/>
    <w:rsid w:val="006237DD"/>
    <w:rsid w:val="00623B2E"/>
    <w:rsid w:val="00644E05"/>
    <w:rsid w:val="0064675B"/>
    <w:rsid w:val="00671EDC"/>
    <w:rsid w:val="006768F9"/>
    <w:rsid w:val="00677F5C"/>
    <w:rsid w:val="00683CBA"/>
    <w:rsid w:val="006C57B7"/>
    <w:rsid w:val="0070289F"/>
    <w:rsid w:val="00706AC3"/>
    <w:rsid w:val="007103DB"/>
    <w:rsid w:val="00732A83"/>
    <w:rsid w:val="0074206C"/>
    <w:rsid w:val="00745811"/>
    <w:rsid w:val="0074681A"/>
    <w:rsid w:val="00755DD2"/>
    <w:rsid w:val="00756412"/>
    <w:rsid w:val="00756819"/>
    <w:rsid w:val="00772F56"/>
    <w:rsid w:val="0077647F"/>
    <w:rsid w:val="0078087C"/>
    <w:rsid w:val="00783596"/>
    <w:rsid w:val="007907C5"/>
    <w:rsid w:val="00794D8E"/>
    <w:rsid w:val="007A3921"/>
    <w:rsid w:val="007B2A2A"/>
    <w:rsid w:val="007B6DF0"/>
    <w:rsid w:val="007C0EE6"/>
    <w:rsid w:val="007C39D6"/>
    <w:rsid w:val="007E0A7C"/>
    <w:rsid w:val="007E30FF"/>
    <w:rsid w:val="007F6E9C"/>
    <w:rsid w:val="008118C4"/>
    <w:rsid w:val="008217ED"/>
    <w:rsid w:val="00845963"/>
    <w:rsid w:val="00846FD7"/>
    <w:rsid w:val="00856241"/>
    <w:rsid w:val="00862A45"/>
    <w:rsid w:val="00865296"/>
    <w:rsid w:val="008664C6"/>
    <w:rsid w:val="008718A4"/>
    <w:rsid w:val="008730FE"/>
    <w:rsid w:val="00886511"/>
    <w:rsid w:val="00886F6C"/>
    <w:rsid w:val="00894A5C"/>
    <w:rsid w:val="008A2E00"/>
    <w:rsid w:val="008A3F38"/>
    <w:rsid w:val="008A48D8"/>
    <w:rsid w:val="008A4ED7"/>
    <w:rsid w:val="008A61CD"/>
    <w:rsid w:val="008B4538"/>
    <w:rsid w:val="008B6054"/>
    <w:rsid w:val="008C018C"/>
    <w:rsid w:val="008C0F2A"/>
    <w:rsid w:val="008C3F8C"/>
    <w:rsid w:val="008D08F5"/>
    <w:rsid w:val="008E2B91"/>
    <w:rsid w:val="009034BF"/>
    <w:rsid w:val="0090598B"/>
    <w:rsid w:val="00914E62"/>
    <w:rsid w:val="00916FBE"/>
    <w:rsid w:val="00924F15"/>
    <w:rsid w:val="009267C7"/>
    <w:rsid w:val="009347DD"/>
    <w:rsid w:val="00936D11"/>
    <w:rsid w:val="00943873"/>
    <w:rsid w:val="0094659B"/>
    <w:rsid w:val="009502EA"/>
    <w:rsid w:val="009546BD"/>
    <w:rsid w:val="00955169"/>
    <w:rsid w:val="00960DD0"/>
    <w:rsid w:val="00974D7A"/>
    <w:rsid w:val="009800AF"/>
    <w:rsid w:val="0098326B"/>
    <w:rsid w:val="00987725"/>
    <w:rsid w:val="009904C6"/>
    <w:rsid w:val="00991BA9"/>
    <w:rsid w:val="009926E5"/>
    <w:rsid w:val="00994C60"/>
    <w:rsid w:val="009A6FC0"/>
    <w:rsid w:val="009B4219"/>
    <w:rsid w:val="009C4B29"/>
    <w:rsid w:val="009C4C84"/>
    <w:rsid w:val="009C612A"/>
    <w:rsid w:val="009C764E"/>
    <w:rsid w:val="009D0796"/>
    <w:rsid w:val="009D53A1"/>
    <w:rsid w:val="009D558D"/>
    <w:rsid w:val="009E02F2"/>
    <w:rsid w:val="009E7B9C"/>
    <w:rsid w:val="009F1BD0"/>
    <w:rsid w:val="00A055F6"/>
    <w:rsid w:val="00A20E01"/>
    <w:rsid w:val="00A212D8"/>
    <w:rsid w:val="00A25F01"/>
    <w:rsid w:val="00A30E1C"/>
    <w:rsid w:val="00A40928"/>
    <w:rsid w:val="00A4625F"/>
    <w:rsid w:val="00A5403A"/>
    <w:rsid w:val="00A60501"/>
    <w:rsid w:val="00A65AC8"/>
    <w:rsid w:val="00A7485A"/>
    <w:rsid w:val="00AA056A"/>
    <w:rsid w:val="00AB1811"/>
    <w:rsid w:val="00AB2DE0"/>
    <w:rsid w:val="00AB7C7E"/>
    <w:rsid w:val="00AD03A1"/>
    <w:rsid w:val="00AD584A"/>
    <w:rsid w:val="00AE250A"/>
    <w:rsid w:val="00AE3C38"/>
    <w:rsid w:val="00B0089D"/>
    <w:rsid w:val="00B07487"/>
    <w:rsid w:val="00B12169"/>
    <w:rsid w:val="00B161B3"/>
    <w:rsid w:val="00B2768A"/>
    <w:rsid w:val="00B3259E"/>
    <w:rsid w:val="00B33546"/>
    <w:rsid w:val="00B35AEC"/>
    <w:rsid w:val="00B40C7A"/>
    <w:rsid w:val="00B53EDB"/>
    <w:rsid w:val="00B55AF5"/>
    <w:rsid w:val="00B67BD3"/>
    <w:rsid w:val="00B67C6A"/>
    <w:rsid w:val="00B766F5"/>
    <w:rsid w:val="00B81ABD"/>
    <w:rsid w:val="00B91650"/>
    <w:rsid w:val="00B95574"/>
    <w:rsid w:val="00BA5196"/>
    <w:rsid w:val="00BA5869"/>
    <w:rsid w:val="00BA7F2D"/>
    <w:rsid w:val="00BC7C95"/>
    <w:rsid w:val="00BC7E08"/>
    <w:rsid w:val="00BD5336"/>
    <w:rsid w:val="00BE6740"/>
    <w:rsid w:val="00BE6AEC"/>
    <w:rsid w:val="00BF39C9"/>
    <w:rsid w:val="00BF7335"/>
    <w:rsid w:val="00BF7D07"/>
    <w:rsid w:val="00C00105"/>
    <w:rsid w:val="00C16B03"/>
    <w:rsid w:val="00C20334"/>
    <w:rsid w:val="00C208FB"/>
    <w:rsid w:val="00C23BB6"/>
    <w:rsid w:val="00C60194"/>
    <w:rsid w:val="00C64C26"/>
    <w:rsid w:val="00C86C6B"/>
    <w:rsid w:val="00CA1605"/>
    <w:rsid w:val="00CA7742"/>
    <w:rsid w:val="00CB65E8"/>
    <w:rsid w:val="00CB6828"/>
    <w:rsid w:val="00CC1519"/>
    <w:rsid w:val="00CE0035"/>
    <w:rsid w:val="00CE21C3"/>
    <w:rsid w:val="00D273B9"/>
    <w:rsid w:val="00D31770"/>
    <w:rsid w:val="00D32868"/>
    <w:rsid w:val="00D371A0"/>
    <w:rsid w:val="00D45BDE"/>
    <w:rsid w:val="00D527BE"/>
    <w:rsid w:val="00D5430A"/>
    <w:rsid w:val="00D56EEA"/>
    <w:rsid w:val="00D71623"/>
    <w:rsid w:val="00D7368F"/>
    <w:rsid w:val="00D80435"/>
    <w:rsid w:val="00DC0966"/>
    <w:rsid w:val="00DC1924"/>
    <w:rsid w:val="00DC331F"/>
    <w:rsid w:val="00DD1E84"/>
    <w:rsid w:val="00DD4AD4"/>
    <w:rsid w:val="00DD7CF4"/>
    <w:rsid w:val="00DE07CA"/>
    <w:rsid w:val="00DE2A7A"/>
    <w:rsid w:val="00DF1D0F"/>
    <w:rsid w:val="00E21BE5"/>
    <w:rsid w:val="00E26C0E"/>
    <w:rsid w:val="00E33202"/>
    <w:rsid w:val="00E33E73"/>
    <w:rsid w:val="00E35D39"/>
    <w:rsid w:val="00E42C5A"/>
    <w:rsid w:val="00E46193"/>
    <w:rsid w:val="00E57BDC"/>
    <w:rsid w:val="00E602A6"/>
    <w:rsid w:val="00E657AB"/>
    <w:rsid w:val="00E671DA"/>
    <w:rsid w:val="00E67253"/>
    <w:rsid w:val="00E675DD"/>
    <w:rsid w:val="00E723CF"/>
    <w:rsid w:val="00E72572"/>
    <w:rsid w:val="00E7601B"/>
    <w:rsid w:val="00E768F9"/>
    <w:rsid w:val="00E84B9D"/>
    <w:rsid w:val="00E92948"/>
    <w:rsid w:val="00EA1848"/>
    <w:rsid w:val="00EB433C"/>
    <w:rsid w:val="00EC726D"/>
    <w:rsid w:val="00EE0901"/>
    <w:rsid w:val="00EE1FA8"/>
    <w:rsid w:val="00EE34EE"/>
    <w:rsid w:val="00EE70D7"/>
    <w:rsid w:val="00EF2906"/>
    <w:rsid w:val="00F11AD1"/>
    <w:rsid w:val="00F1367A"/>
    <w:rsid w:val="00F15A8A"/>
    <w:rsid w:val="00F15F2F"/>
    <w:rsid w:val="00F22866"/>
    <w:rsid w:val="00F367B5"/>
    <w:rsid w:val="00F60579"/>
    <w:rsid w:val="00F62505"/>
    <w:rsid w:val="00F6351D"/>
    <w:rsid w:val="00F93D83"/>
    <w:rsid w:val="00F9707C"/>
    <w:rsid w:val="00FA5FC2"/>
    <w:rsid w:val="00FB0A72"/>
    <w:rsid w:val="00FB0ABB"/>
    <w:rsid w:val="00FB3BCF"/>
    <w:rsid w:val="00FC0BCE"/>
    <w:rsid w:val="00FC1397"/>
    <w:rsid w:val="00FC39CD"/>
    <w:rsid w:val="00FD1049"/>
    <w:rsid w:val="00FE1514"/>
    <w:rsid w:val="00FF0199"/>
    <w:rsid w:val="00FF2880"/>
    <w:rsid w:val="00FF4C14"/>
    <w:rsid w:val="01575EBA"/>
    <w:rsid w:val="0DB018F0"/>
    <w:rsid w:val="148C2C45"/>
    <w:rsid w:val="1804327B"/>
    <w:rsid w:val="1CD34CD9"/>
    <w:rsid w:val="278EAA44"/>
    <w:rsid w:val="2F172676"/>
    <w:rsid w:val="2F6038B4"/>
    <w:rsid w:val="34D20394"/>
    <w:rsid w:val="44ED30EF"/>
    <w:rsid w:val="4EBF2B9B"/>
    <w:rsid w:val="59CF16EF"/>
    <w:rsid w:val="5DCC4F97"/>
    <w:rsid w:val="6A8D5C3B"/>
    <w:rsid w:val="729F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8"/>
      <w:szCs w:val="21"/>
      <w:lang w:val="en-US" w:eastAsia="zh-CN" w:bidi="ar-SA"/>
    </w:rPr>
  </w:style>
  <w:style w:type="paragraph" w:styleId="2">
    <w:name w:val="heading 1"/>
    <w:basedOn w:val="1"/>
    <w:next w:val="1"/>
    <w:link w:val="24"/>
    <w:qFormat/>
    <w:uiPriority w:val="9"/>
    <w:pPr>
      <w:keepNext/>
      <w:keepLines/>
      <w:pageBreakBefore/>
      <w:numPr>
        <w:ilvl w:val="0"/>
        <w:numId w:val="1"/>
      </w:numPr>
      <w:spacing w:before="120" w:after="120"/>
      <w:ind w:firstLineChars="0"/>
      <w:jc w:val="center"/>
      <w:outlineLvl w:val="0"/>
    </w:pPr>
    <w:rPr>
      <w:b/>
      <w:bCs/>
      <w:kern w:val="44"/>
      <w:sz w:val="36"/>
      <w:szCs w:val="44"/>
    </w:rPr>
  </w:style>
  <w:style w:type="paragraph" w:styleId="3">
    <w:name w:val="heading 2"/>
    <w:basedOn w:val="1"/>
    <w:next w:val="1"/>
    <w:link w:val="25"/>
    <w:unhideWhenUsed/>
    <w:qFormat/>
    <w:uiPriority w:val="9"/>
    <w:pPr>
      <w:keepNext/>
      <w:keepLines/>
      <w:numPr>
        <w:ilvl w:val="1"/>
        <w:numId w:val="1"/>
      </w:numPr>
      <w:spacing w:before="120" w:after="120" w:line="240" w:lineRule="auto"/>
      <w:ind w:firstLineChars="0"/>
      <w:jc w:val="left"/>
      <w:outlineLvl w:val="1"/>
    </w:pPr>
    <w:rPr>
      <w:b/>
      <w:bCs/>
      <w:sz w:val="30"/>
      <w:szCs w:val="32"/>
    </w:rPr>
  </w:style>
  <w:style w:type="paragraph" w:styleId="4">
    <w:name w:val="heading 3"/>
    <w:basedOn w:val="1"/>
    <w:next w:val="1"/>
    <w:link w:val="21"/>
    <w:unhideWhenUsed/>
    <w:qFormat/>
    <w:uiPriority w:val="9"/>
    <w:pPr>
      <w:keepNext/>
      <w:keepLines/>
      <w:numPr>
        <w:ilvl w:val="2"/>
        <w:numId w:val="1"/>
      </w:numPr>
      <w:spacing w:line="240" w:lineRule="auto"/>
      <w:ind w:firstLineChars="0"/>
      <w:outlineLvl w:val="2"/>
    </w:pPr>
    <w:rPr>
      <w:b/>
      <w:bCs/>
      <w:szCs w:val="32"/>
    </w:rPr>
  </w:style>
  <w:style w:type="paragraph" w:styleId="5">
    <w:name w:val="heading 4"/>
    <w:basedOn w:val="1"/>
    <w:next w:val="1"/>
    <w:link w:val="26"/>
    <w:unhideWhenUsed/>
    <w:qFormat/>
    <w:uiPriority w:val="9"/>
    <w:pPr>
      <w:keepNext/>
      <w:keepLines/>
      <w:numPr>
        <w:ilvl w:val="3"/>
        <w:numId w:val="1"/>
      </w:numPr>
      <w:spacing w:line="240" w:lineRule="auto"/>
      <w:ind w:firstLineChars="0"/>
      <w:outlineLvl w:val="3"/>
    </w:pPr>
    <w:rPr>
      <w:b/>
      <w:bCs/>
      <w:szCs w:val="28"/>
    </w:rPr>
  </w:style>
  <w:style w:type="paragraph" w:styleId="6">
    <w:name w:val="heading 5"/>
    <w:basedOn w:val="1"/>
    <w:next w:val="1"/>
    <w:link w:val="27"/>
    <w:qFormat/>
    <w:uiPriority w:val="9"/>
    <w:pPr>
      <w:keepNext/>
      <w:keepLines/>
      <w:numPr>
        <w:ilvl w:val="4"/>
        <w:numId w:val="1"/>
      </w:numPr>
      <w:spacing w:before="120"/>
      <w:ind w:firstLineChars="0"/>
      <w:jc w:val="center"/>
      <w:outlineLvl w:val="4"/>
    </w:pPr>
    <w:rPr>
      <w:b/>
      <w:bCs/>
      <w:szCs w:val="28"/>
    </w:rPr>
  </w:style>
  <w:style w:type="paragraph" w:styleId="7">
    <w:name w:val="heading 6"/>
    <w:basedOn w:val="1"/>
    <w:next w:val="1"/>
    <w:link w:val="28"/>
    <w:unhideWhenUsed/>
    <w:qFormat/>
    <w:uiPriority w:val="9"/>
    <w:pPr>
      <w:keepLines/>
      <w:numPr>
        <w:ilvl w:val="5"/>
        <w:numId w:val="1"/>
      </w:numPr>
      <w:spacing w:after="50" w:afterLines="50"/>
      <w:ind w:firstLineChars="0"/>
      <w:jc w:val="center"/>
      <w:outlineLvl w:val="5"/>
    </w:pPr>
    <w:rPr>
      <w:b/>
      <w:bCs/>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ind w:firstLineChars="0"/>
      <w:outlineLvl w:val="6"/>
    </w:pPr>
    <w:rPr>
      <w:b/>
      <w:bCs/>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ind w:firstLineChars="0"/>
      <w:outlineLvl w:val="7"/>
    </w:pPr>
    <w:rPr>
      <w:rFonts w:ascii="等线 Light" w:hAnsi="等线 Light" w:eastAsia="等线 Light"/>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ind w:firstLineChars="0"/>
      <w:outlineLvl w:val="8"/>
    </w:pPr>
    <w:rPr>
      <w:rFonts w:ascii="等线 Light" w:hAnsi="等线 Light" w:eastAsia="等线 Light"/>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7"/>
    <w:semiHidden/>
    <w:unhideWhenUsed/>
    <w:qFormat/>
    <w:uiPriority w:val="99"/>
    <w:pPr>
      <w:jc w:val="left"/>
    </w:pPr>
  </w:style>
  <w:style w:type="paragraph" w:styleId="12">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tabs>
        <w:tab w:val="right" w:leader="dot" w:pos="9016"/>
      </w:tabs>
      <w:ind w:firstLine="0" w:firstLineChars="0"/>
    </w:pPr>
  </w:style>
  <w:style w:type="paragraph" w:styleId="15">
    <w:name w:val="toc 2"/>
    <w:basedOn w:val="1"/>
    <w:next w:val="1"/>
    <w:unhideWhenUsed/>
    <w:qFormat/>
    <w:uiPriority w:val="39"/>
    <w:pPr>
      <w:ind w:left="420" w:leftChars="200"/>
    </w:pPr>
  </w:style>
  <w:style w:type="paragraph" w:styleId="16">
    <w:name w:val="annotation subject"/>
    <w:basedOn w:val="11"/>
    <w:next w:val="11"/>
    <w:link w:val="38"/>
    <w:semiHidden/>
    <w:unhideWhenUsed/>
    <w:qFormat/>
    <w:uiPriority w:val="99"/>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3 字符"/>
    <w:link w:val="4"/>
    <w:qFormat/>
    <w:uiPriority w:val="9"/>
    <w:rPr>
      <w:rFonts w:ascii="Times New Roman" w:hAnsi="Times New Roman" w:eastAsia="仿宋_GB2312"/>
      <w:b/>
      <w:bCs/>
      <w:kern w:val="2"/>
      <w:sz w:val="28"/>
      <w:szCs w:val="32"/>
    </w:rPr>
  </w:style>
  <w:style w:type="character" w:customStyle="1" w:styleId="22">
    <w:name w:val="页眉 字符"/>
    <w:link w:val="13"/>
    <w:qFormat/>
    <w:uiPriority w:val="99"/>
    <w:rPr>
      <w:rFonts w:ascii="Times New Roman" w:hAnsi="Times New Roman" w:eastAsia="宋体"/>
      <w:sz w:val="18"/>
      <w:szCs w:val="18"/>
    </w:rPr>
  </w:style>
  <w:style w:type="character" w:customStyle="1" w:styleId="23">
    <w:name w:val="页脚 字符"/>
    <w:link w:val="12"/>
    <w:qFormat/>
    <w:uiPriority w:val="99"/>
    <w:rPr>
      <w:rFonts w:ascii="Times New Roman" w:hAnsi="Times New Roman" w:eastAsia="宋体"/>
      <w:sz w:val="18"/>
      <w:szCs w:val="18"/>
    </w:rPr>
  </w:style>
  <w:style w:type="character" w:customStyle="1" w:styleId="24">
    <w:name w:val="标题 1 字符"/>
    <w:link w:val="2"/>
    <w:qFormat/>
    <w:uiPriority w:val="9"/>
    <w:rPr>
      <w:rFonts w:ascii="Times New Roman" w:hAnsi="Times New Roman" w:eastAsia="仿宋_GB2312"/>
      <w:b/>
      <w:bCs/>
      <w:kern w:val="44"/>
      <w:sz w:val="36"/>
      <w:szCs w:val="44"/>
    </w:rPr>
  </w:style>
  <w:style w:type="character" w:customStyle="1" w:styleId="25">
    <w:name w:val="标题 2 字符"/>
    <w:link w:val="3"/>
    <w:qFormat/>
    <w:uiPriority w:val="9"/>
    <w:rPr>
      <w:rFonts w:ascii="Times New Roman" w:hAnsi="Times New Roman" w:eastAsia="仿宋_GB2312"/>
      <w:b/>
      <w:bCs/>
      <w:kern w:val="2"/>
      <w:sz w:val="30"/>
      <w:szCs w:val="32"/>
    </w:rPr>
  </w:style>
  <w:style w:type="character" w:customStyle="1" w:styleId="26">
    <w:name w:val="标题 4 字符"/>
    <w:link w:val="5"/>
    <w:qFormat/>
    <w:uiPriority w:val="9"/>
    <w:rPr>
      <w:rFonts w:ascii="Times New Roman" w:hAnsi="Times New Roman" w:eastAsia="仿宋_GB2312"/>
      <w:b/>
      <w:bCs/>
      <w:kern w:val="2"/>
      <w:sz w:val="28"/>
      <w:szCs w:val="28"/>
    </w:rPr>
  </w:style>
  <w:style w:type="character" w:customStyle="1" w:styleId="27">
    <w:name w:val="标题 5 字符"/>
    <w:link w:val="6"/>
    <w:qFormat/>
    <w:uiPriority w:val="9"/>
    <w:rPr>
      <w:rFonts w:ascii="Times New Roman" w:hAnsi="Times New Roman" w:eastAsia="宋体"/>
      <w:b/>
      <w:bCs/>
      <w:kern w:val="2"/>
      <w:sz w:val="24"/>
      <w:szCs w:val="28"/>
    </w:rPr>
  </w:style>
  <w:style w:type="character" w:customStyle="1" w:styleId="28">
    <w:name w:val="标题 6 字符"/>
    <w:link w:val="7"/>
    <w:qFormat/>
    <w:uiPriority w:val="9"/>
    <w:rPr>
      <w:rFonts w:ascii="Times New Roman" w:hAnsi="Times New Roman" w:eastAsia="宋体"/>
      <w:b/>
      <w:bCs/>
      <w:kern w:val="2"/>
      <w:sz w:val="24"/>
      <w:szCs w:val="24"/>
    </w:rPr>
  </w:style>
  <w:style w:type="character" w:customStyle="1" w:styleId="29">
    <w:name w:val="标题 7 字符"/>
    <w:link w:val="8"/>
    <w:semiHidden/>
    <w:qFormat/>
    <w:uiPriority w:val="9"/>
    <w:rPr>
      <w:b/>
      <w:bCs/>
      <w:sz w:val="24"/>
      <w:szCs w:val="24"/>
    </w:rPr>
  </w:style>
  <w:style w:type="character" w:customStyle="1" w:styleId="30">
    <w:name w:val="标题 8 字符"/>
    <w:link w:val="9"/>
    <w:semiHidden/>
    <w:qFormat/>
    <w:uiPriority w:val="9"/>
    <w:rPr>
      <w:rFonts w:ascii="等线 Light" w:hAnsi="等线 Light" w:eastAsia="等线 Light" w:cs="Times New Roman"/>
      <w:sz w:val="24"/>
      <w:szCs w:val="24"/>
    </w:rPr>
  </w:style>
  <w:style w:type="character" w:customStyle="1" w:styleId="31">
    <w:name w:val="标题 9 字符"/>
    <w:link w:val="10"/>
    <w:semiHidden/>
    <w:qFormat/>
    <w:uiPriority w:val="9"/>
    <w:rPr>
      <w:rFonts w:ascii="等线 Light" w:hAnsi="等线 Light" w:eastAsia="等线 Light" w:cs="Times New Roman"/>
    </w:rPr>
  </w:style>
  <w:style w:type="paragraph" w:styleId="32">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33">
    <w:name w:val="font21"/>
    <w:qFormat/>
    <w:uiPriority w:val="0"/>
    <w:rPr>
      <w:rFonts w:hint="eastAsia" w:ascii="仿宋_GB2312" w:eastAsia="仿宋_GB2312"/>
      <w:color w:val="000000"/>
      <w:sz w:val="21"/>
      <w:szCs w:val="21"/>
      <w:u w:val="none"/>
    </w:rPr>
  </w:style>
  <w:style w:type="character" w:customStyle="1" w:styleId="34">
    <w:name w:val="font01"/>
    <w:qFormat/>
    <w:uiPriority w:val="0"/>
    <w:rPr>
      <w:rFonts w:hint="default" w:ascii="Times New Roman" w:hAnsi="Times New Roman" w:cs="Times New Roman"/>
      <w:color w:val="000000"/>
      <w:sz w:val="21"/>
      <w:szCs w:val="21"/>
      <w:u w:val="none"/>
    </w:rPr>
  </w:style>
  <w:style w:type="paragraph" w:customStyle="1" w:styleId="35">
    <w:name w:val="Revision"/>
    <w:hidden/>
    <w:semiHidden/>
    <w:qFormat/>
    <w:uiPriority w:val="99"/>
    <w:rPr>
      <w:rFonts w:ascii="Times New Roman" w:hAnsi="Times New Roman" w:eastAsia="仿宋_GB2312" w:cs="Times New Roman"/>
      <w:kern w:val="2"/>
      <w:sz w:val="28"/>
      <w:szCs w:val="21"/>
      <w:lang w:val="en-US" w:eastAsia="zh-CN" w:bidi="ar-SA"/>
    </w:rPr>
  </w:style>
  <w:style w:type="paragraph" w:customStyle="1" w:styleId="36">
    <w:name w:val="TOC Heading"/>
    <w:basedOn w:val="2"/>
    <w:next w:val="1"/>
    <w:unhideWhenUsed/>
    <w:qFormat/>
    <w:uiPriority w:val="39"/>
    <w:pPr>
      <w:pageBreakBefore w:val="0"/>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7">
    <w:name w:val="批注文字 字符"/>
    <w:basedOn w:val="18"/>
    <w:link w:val="11"/>
    <w:semiHidden/>
    <w:qFormat/>
    <w:uiPriority w:val="99"/>
    <w:rPr>
      <w:rFonts w:ascii="Times New Roman" w:hAnsi="Times New Roman" w:eastAsia="仿宋_GB2312"/>
      <w:kern w:val="2"/>
      <w:sz w:val="28"/>
      <w:szCs w:val="21"/>
    </w:rPr>
  </w:style>
  <w:style w:type="character" w:customStyle="1" w:styleId="38">
    <w:name w:val="批注主题 字符"/>
    <w:basedOn w:val="37"/>
    <w:link w:val="16"/>
    <w:semiHidden/>
    <w:qFormat/>
    <w:uiPriority w:val="99"/>
    <w:rPr>
      <w:rFonts w:ascii="Times New Roman" w:hAnsi="Times New Roman" w:eastAsia="仿宋_GB2312"/>
      <w:b/>
      <w:bCs/>
      <w:kern w:val="2"/>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1130</Words>
  <Characters>6442</Characters>
  <Lines>53</Lines>
  <Paragraphs>15</Paragraphs>
  <TotalTime>4</TotalTime>
  <ScaleCrop>false</ScaleCrop>
  <LinksUpToDate>false</LinksUpToDate>
  <CharactersWithSpaces>7557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2023-05-29T11:46:00Z</dcterms:created>
  <dc:creator>540034628@qq.com</dc:creator>
  <cp:lastModifiedBy>user</cp:lastModifiedBy>
  <cp:lastPrinted>2023-04-24T11:42:00Z</cp:lastPrinted>
  <dcterms:modified xsi:type="dcterms:W3CDTF">2023-06-26T08:56:24Z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A19C1698CBD449A899F97515074A2694</vt:lpwstr>
  </property>
</Properties>
</file>