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lang w:val="en" w:eastAsia="zh-CN"/>
        </w:rPr>
        <w:t>25</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人：中山市亚速检测技术有限公司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法定代表人：梁晓辉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所：中山市小榄镇兆龙社区兆隆中路建兆街建兆一巷1号4楼401卡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统一社会信用代码：91442000MABQTY8C0Q</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中山市亚速检测技术有限公司（以下简称为“你公司”）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3月28日，环境执法人员组织专家对你公司进行现场检查，发现你公司出具的《珠海市振业混凝土有限公司》（编号为YS230304CY003）等检测报告及其原始分析记录存在伪造监测时间或者签名、未开展分析，直接出具监测数据、纸质原始记录与电子储存记录不一致等环境监测数据弄虚作假行为。</w:t>
      </w:r>
    </w:p>
    <w:p>
      <w:pPr>
        <w:pStyle w:val="2"/>
        <w:ind w:left="0" w:leftChars="0" w:firstLine="640" w:firstLineChars="200"/>
        <w:rPr>
          <w:rFonts w:hint="default"/>
          <w:lang w:val="en-US" w:eastAsia="zh-CN"/>
        </w:rPr>
      </w:pPr>
      <w:r>
        <w:rPr>
          <w:rFonts w:hint="eastAsia" w:ascii="仿宋_GB2312" w:hAnsi="仿宋_GB2312" w:eastAsia="仿宋_GB2312" w:cs="仿宋_GB2312"/>
          <w:color w:val="000000"/>
          <w:kern w:val="2"/>
          <w:sz w:val="32"/>
          <w:szCs w:val="32"/>
          <w:lang w:val="en-US" w:eastAsia="zh-CN" w:bidi="ar-SA"/>
        </w:rPr>
        <w:t>2023年7月7日，环境执法人员对你公司进行现场检查发现，你公司出具的《东莞市佰润包装有限公司》检测报告（编号为YS230224CY111）存在未开展检测直接出具检测报告的弄虚作假行为。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《广东省水污染防治条例》第二十三条第三款“</w:t>
      </w:r>
      <w:r>
        <w:rPr>
          <w:rFonts w:hint="default" w:ascii="仿宋_GB2312" w:hAnsi="仿宋_GB2312" w:eastAsia="仿宋_GB2312" w:cs="仿宋_GB2312"/>
          <w:color w:val="000000"/>
          <w:kern w:val="2"/>
          <w:sz w:val="32"/>
          <w:szCs w:val="32"/>
          <w:lang w:val="en-US" w:eastAsia="zh-CN" w:bidi="ar-SA"/>
        </w:rPr>
        <w:t>环境监测机构和开展自行监测的排污单位应当按照环境监测规范从事环境监测活动，不得有隐瞒、伪造、篡改环境监测数据等弄虚作假行为。任何单位和个人不得伪造或者篡改环境监测机构的环境监测报告。</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 年 3 月28日制作的《中山市生态环境局现场检查（勘察）笔录》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 年 3 月 28 日分别对梁晓辉、刘志敏、周炎祯、黄银思、陈家进、蒋继月、梁嘉男、黄钜成、刘江波、陈紫红制作的《中山市生态环境局调查询问笔录》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 年 5月10日制作的《中山市生态环境局现场检查（勘察）笔录》</w:t>
      </w:r>
      <w:r>
        <w:rPr>
          <w:rFonts w:hint="eastAsia" w:ascii="仿宋_GB2312" w:hAnsi="仿宋_GB2312" w:eastAsia="仿宋_GB2312" w:cs="仿宋_GB2312"/>
          <w:color w:val="212B36"/>
          <w:sz w:val="32"/>
          <w:szCs w:val="32"/>
          <w:shd w:val="clear" w:color="auto" w:fill="FFFFFF"/>
          <w:lang w:eastAsia="zh-CN"/>
        </w:rPr>
        <w:t>；</w:t>
      </w:r>
    </w:p>
    <w:p>
      <w:pPr>
        <w:pStyle w:val="2"/>
        <w:ind w:left="0" w:leftChars="0" w:firstLine="640" w:firstLineChars="200"/>
        <w:rPr>
          <w:rFonts w:hint="default" w:ascii="仿宋_GB2312" w:hAnsi="仿宋_GB2312" w:eastAsia="仿宋_GB2312" w:cs="仿宋_GB2312"/>
          <w:color w:val="000000"/>
          <w:kern w:val="2"/>
          <w:sz w:val="32"/>
          <w:szCs w:val="32"/>
          <w:lang w:val="en"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 年5 月 10 日分别对蒋继月、代飞宇、杨和汉、刘江波、制作的《中山市生态环境局调查询问笔录》；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 年5 月 24日分别对梁晓辉、李志明、蒋继月制作的《中山市生态环境局调查询问笔录》；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《关于中山市亚速检测技术有限公司涉嫌监测弄虚作假行为线索移交的函》；</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《环境监测机构现场技术服务报告》（报告编号：HJJC-2023001）；</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12份检测报告；</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2023年6月12日制作的《东莞市生态环境局现场检查（勘察）笔录》及视频；</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2023年6月12日与董自欣制作的《东莞市生态环境局调查询问笔录》；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2023年8月3日与蒋继月制作的《中山市生态环境局调查询问笔录》</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你公司未向我局提出陈述申辩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[2023]2023号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广东省水污染防治条例</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六十三</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sz w:val="32"/>
          <w:szCs w:val="32"/>
          <w:lang w:val="en-US" w:eastAsia="zh-CN"/>
        </w:rPr>
        <w:t>规定，根据你公司违法行为的事实、性质、情节、社会危害程度和相关证据，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并对照《中山市生态环境领域行政处罚自由裁量表》第二章第二十五条裁量标准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十一万元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20</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32ABB98C"/>
    <w:rsid w:val="3BD62C0E"/>
    <w:rsid w:val="3E9E799E"/>
    <w:rsid w:val="3F5C4456"/>
    <w:rsid w:val="4C24147D"/>
    <w:rsid w:val="54BC5FF6"/>
    <w:rsid w:val="5693C8CA"/>
    <w:rsid w:val="59A06716"/>
    <w:rsid w:val="59F043DA"/>
    <w:rsid w:val="5ACD514B"/>
    <w:rsid w:val="5F7FDD9E"/>
    <w:rsid w:val="61B54FC3"/>
    <w:rsid w:val="6B8E1F8B"/>
    <w:rsid w:val="6F1434F6"/>
    <w:rsid w:val="73AB2BD5"/>
    <w:rsid w:val="7BB757F8"/>
    <w:rsid w:val="7EF7DAE3"/>
    <w:rsid w:val="7EFF0553"/>
    <w:rsid w:val="7FEE7A53"/>
    <w:rsid w:val="AF17A43C"/>
    <w:rsid w:val="DE7EACE1"/>
    <w:rsid w:val="F47D270E"/>
    <w:rsid w:val="FB65418C"/>
    <w:rsid w:val="FB7B3B11"/>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2022-09-08T16:35:00Z</dcterms:created>
  <dc:creator>WPS_1561811017</dc:creator>
  <cp:lastModifiedBy>user</cp:lastModifiedBy>
  <cp:lastPrinted>2023-06-13T11:00:00Z</cp:lastPrinted>
  <dcterms:modified xsi:type="dcterms:W3CDTF">2023-10-20T10:19:51Z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