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255"/>
          <w:numId w:val="0"/>
        </w:numPr>
      </w:pPr>
      <w:r>
        <w:t xml:space="preserve">附件1 </w:t>
      </w:r>
    </w:p>
    <w:p>
      <w:pPr>
        <w:pStyle w:val="2"/>
        <w:numPr>
          <w:ilvl w:val="255"/>
          <w:numId w:val="0"/>
        </w:numPr>
        <w:jc w:val="center"/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</w:rPr>
        <w:t>工业</w:t>
      </w:r>
      <w:r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  <w:lang w:eastAsia="zh-CN"/>
        </w:rPr>
        <w:t>危险</w:t>
      </w:r>
      <w:r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</w:rPr>
        <w:t>废物管理制度（模板)</w:t>
      </w:r>
    </w:p>
    <w:p>
      <w:pPr>
        <w:pStyle w:val="7"/>
        <w:adjustRightInd/>
        <w:spacing w:line="360" w:lineRule="auto"/>
        <w:ind w:firstLine="562" w:firstLineChars="200"/>
        <w:jc w:val="both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一、总则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一）为贯彻执行《中华人民共和国环境保护法》、《中华人民共和国固体废物污染环境防治法》、《危险废物经营许可证管理办法》、《危险废物转移联单管理办法》及有关法律、法规，落实危险废物相关管理规定和标准规范，强化危险废物日常监管，进一步规范公司危险废物产生、收集、贮存、运输、利用和处置等各个环节，全面提高危险废物产生单位管理水平，确保危险废物得到无害化处置，保障环境安全。制定本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管理制度</w:t>
      </w:r>
      <w:r>
        <w:rPr>
          <w:rFonts w:hint="eastAsia" w:ascii="仿宋_GB2312" w:hAnsi="仿宋_GB2312" w:eastAsia="仿宋_GB2312" w:cs="仿宋_GB2312"/>
          <w:szCs w:val="24"/>
        </w:rPr>
        <w:t>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（二）本制度适用于本公司区域内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的产生、收集、贮存、转移、利用、处置等活动。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（三）本公司对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污染环境实行预防为主，全过程管理和污染者承担责任的原则。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（四）积极推广清洁生产，避免或者减少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的产生;鼓励对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的合理利用;实行对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的无害化处理。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（五）各部门、车间应当加强对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污染环境防治工作的领导，在各自的职责范围内负责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污染环境防治的监督管理工作。</w:t>
      </w:r>
    </w:p>
    <w:p>
      <w:pPr>
        <w:pStyle w:val="7"/>
        <w:adjustRightInd/>
        <w:spacing w:line="360" w:lineRule="auto"/>
        <w:ind w:firstLine="562" w:firstLineChars="200"/>
        <w:jc w:val="both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工业危险废物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污染防治的管理制度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（一）本公司严格控制新建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产生量大、危害性大且难以安全处置的建设项目。建设产生、贮存、利用、处置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项目的部门、车间必须遵守国家和本市有关建设项目环境保护管理的规定。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（二）产生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的部门、车间，必须按照规定向物资部申报登记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产生的种类、数量、流向、贮存、利用、处置等有关资料。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（三）产废部门、车间应当采取调整产品结构或者生产工艺等措施减少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产生量。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（四）本公司由各部门车间主要负责人成立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管理工作领导小组。领导小组及其职能部门有权对产生、收集、贮存、转移、利用、处置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的部门、车间进行现场检查，检查其污染防治措施的落实和运行情况。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被检查的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部门、车间</w:t>
      </w:r>
      <w:r>
        <w:rPr>
          <w:rFonts w:hint="eastAsia" w:ascii="仿宋_GB2312" w:hAnsi="仿宋_GB2312" w:eastAsia="仿宋_GB2312" w:cs="仿宋_GB2312"/>
          <w:szCs w:val="24"/>
        </w:rPr>
        <w:t>应当如实反映情况，提供必要的资料：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1、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的产生、收集、贮存、转移、利用、处置情况。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2、污染防治设施的运行情况。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3、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造成的污染及损害情况。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4、限期改正或者限期治理执行情况。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5、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污染环境防治的管理制度。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6、其他与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污染防治有关的情况和资料。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7、污染严重的部门、车间应当按照规定公开其产生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的状况以及污染防治措施落实情况，接受监督。</w:t>
      </w:r>
    </w:p>
    <w:p>
      <w:pPr>
        <w:pStyle w:val="7"/>
        <w:adjustRightInd/>
        <w:spacing w:line="360" w:lineRule="auto"/>
        <w:ind w:firstLine="562" w:firstLineChars="200"/>
        <w:jc w:val="both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工业危险废物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污染环境的全过程控制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（一）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的收集、贮存、转移、利用、处置活动必须遵守国家和本市的有关规定。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（二）禁止向环境倾倒、堆置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（三）禁止将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混入非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危险废物</w:t>
      </w:r>
      <w:r>
        <w:rPr>
          <w:rFonts w:hint="eastAsia" w:ascii="仿宋_GB2312" w:hAnsi="仿宋_GB2312" w:eastAsia="仿宋_GB2312" w:cs="仿宋_GB2312"/>
          <w:szCs w:val="24"/>
        </w:rPr>
        <w:t>中收集、贮存、转移、处置。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（四）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的收集、贮存、转移应当使用符合标准的容器和包装物。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（五）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的容器和包装物以及收集、贮存、转移、处置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的设施、场所，必须设置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危险废物</w:t>
      </w:r>
      <w:r>
        <w:rPr>
          <w:rFonts w:hint="eastAsia" w:ascii="仿宋_GB2312" w:hAnsi="仿宋_GB2312" w:eastAsia="仿宋_GB2312" w:cs="仿宋_GB2312"/>
          <w:szCs w:val="24"/>
        </w:rPr>
        <w:t>识别标志。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（六）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的贮存时间不得超过一年:法律、法规另有规定的除外。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（七）产生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部门、车间应当按照规定处置:不按照规定处置的，应当进行限期改正﹔限期结束后仍然不按照规定处置，由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管理工作领导小组按照公司规定负责处罚。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（八）在搬迁、转产、终止之前必须对已经产生尚没有处置的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和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贮存、处置设施场所按照有关规定进行安全处置﹔对产生的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对周围环境的影响进行综合评估并消除可能产生的污染，将评估报告报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管理工作领导小组备案。</w:t>
      </w:r>
    </w:p>
    <w:p>
      <w:pPr>
        <w:pStyle w:val="7"/>
        <w:adjustRightInd/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（九）</w:t>
      </w:r>
      <w:r>
        <w:rPr>
          <w:rFonts w:hint="eastAsia" w:ascii="仿宋_GB2312" w:hAnsi="仿宋_GB2312" w:eastAsia="仿宋_GB2312" w:cs="仿宋_GB2312"/>
          <w:szCs w:val="24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szCs w:val="24"/>
        </w:rPr>
        <w:t>转移要落实转移联制度。</w:t>
      </w:r>
    </w:p>
    <w:p>
      <w:pPr>
        <w:pStyle w:val="7"/>
        <w:adjustRightInd/>
        <w:spacing w:line="360" w:lineRule="auto"/>
        <w:ind w:firstLine="562" w:firstLineChars="200"/>
        <w:jc w:val="both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</w:p>
    <w:p>
      <w:pPr>
        <w:pStyle w:val="7"/>
        <w:adjustRightInd/>
        <w:spacing w:line="360" w:lineRule="auto"/>
        <w:ind w:firstLine="562" w:firstLineChars="200"/>
        <w:jc w:val="both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</w:p>
    <w:p>
      <w:pPr>
        <w:pStyle w:val="7"/>
        <w:adjustRightInd/>
        <w:spacing w:line="360" w:lineRule="auto"/>
        <w:ind w:firstLine="562" w:firstLineChars="200"/>
        <w:jc w:val="both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四、工业危险废物管理工作领导小组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357495" cy="2241550"/>
            <wp:effectExtent l="0" t="0" r="146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10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27"/>
        <w:gridCol w:w="1115"/>
        <w:gridCol w:w="5784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11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组织职位</w:t>
            </w:r>
          </w:p>
        </w:tc>
        <w:tc>
          <w:tcPr>
            <w:tcW w:w="5784" w:type="dxa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 作 职 责</w:t>
            </w:r>
          </w:p>
        </w:tc>
        <w:tc>
          <w:tcPr>
            <w:tcW w:w="1597" w:type="dxa"/>
            <w:vAlign w:val="center"/>
          </w:tcPr>
          <w:p>
            <w:pPr>
              <w:spacing w:line="460" w:lineRule="exact"/>
              <w:ind w:firstLine="48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总经理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组长</w:t>
            </w:r>
          </w:p>
        </w:tc>
        <w:tc>
          <w:tcPr>
            <w:tcW w:w="578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（1）全面组织贯彻落实国家危险废物管理工作方针、政策、法令和法规。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（2）全面负责环境保护职能机构的建设，指导和监督环境保护部门的工作。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（3）统筹本单位危险废物管理工作，负责制定、组织实施危险废物管理计划和实施方案。</w:t>
            </w: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技术总监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副组长</w:t>
            </w:r>
          </w:p>
        </w:tc>
        <w:tc>
          <w:tcPr>
            <w:tcW w:w="578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（1）协助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推动企业开展危险废物管理工作，贯彻执行国家法规和标准，汇总和审查各项技术措施、计划，并且督促有关部门切实按期执行。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（2）负责危险废物贮存、转移管理及处置（利用）设施技术管理工作。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（3）组织职工进行危险废物知识培训教育，总结推广危险废物管理先进经验。</w:t>
            </w: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兼职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危废管理员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生产部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部长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组员</w:t>
            </w:r>
            <w:bookmarkEnd w:id="0"/>
          </w:p>
        </w:tc>
        <w:tc>
          <w:tcPr>
            <w:tcW w:w="578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（1）负责单位自身危险废物检查及危险废物的产生、贮存、利用、处置建档的资料收集、整理工作，并按规定编制成台帐进行管理。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（2）积极配合环保部门和本单位危险废物管理人员，提供档案查阅、使用、登记服务。</w:t>
            </w: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台帐资料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收集、整理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安全环保部部长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组员</w:t>
            </w:r>
          </w:p>
        </w:tc>
        <w:tc>
          <w:tcPr>
            <w:tcW w:w="578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（1）组织进行单位自身危险废物管理检查，并建立检查档案。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（2）组织开展危险废物的日常监测，登记、上报、建档。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（3）定期组织现场检查，对检查中发现的不良情况，有权责令改正，或立即报告领导小组研究处理。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（4）负责危险废物事故报告，参加事故调查处理。</w:t>
            </w: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专职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财务部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部长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组员</w:t>
            </w:r>
          </w:p>
        </w:tc>
        <w:tc>
          <w:tcPr>
            <w:tcW w:w="578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（1）负责做好每年度危险废物管理所需经费预算，为危险废物管理工作提供财经保障。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（2）配合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其他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危险废物管理人员做好各项危险废物管理工作。</w:t>
            </w: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经费管理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仓库负责人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小组成员</w:t>
            </w:r>
          </w:p>
        </w:tc>
        <w:tc>
          <w:tcPr>
            <w:tcW w:w="578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1、负责环保设备、仪器、药品和备件等物资的供应工作，做好有毒有害物料的管理，防止在运输、贮存和发放时逸散泄漏污染环境； 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确保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固体废物（含危废）按国家相关规定进行处置或处理，不得把可能产生二次污染的物料或产品转移给其它企业。</w:t>
            </w: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危废的存储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保卫负责人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小组成员</w:t>
            </w:r>
          </w:p>
        </w:tc>
        <w:tc>
          <w:tcPr>
            <w:tcW w:w="5784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1、负责危险废弃物车辆进出入管理与登记工作，使其符合环保要求。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2、在事故救援过程中，负责现场保护、车辆管理和人员的疏散工作。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3、严格执行危险废物污染防治责任制、危废管理制度。</w:t>
            </w: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危废运输转移</w:t>
            </w:r>
          </w:p>
        </w:tc>
      </w:tr>
    </w:tbl>
    <w:p>
      <w:pPr>
        <w:spacing w:line="240" w:lineRule="atLeast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备注：污染防治责任制度组织部门可根据企业情况适当增减，由此工作职责根据实际情况由其他部门兼任。</w:t>
      </w:r>
    </w:p>
    <w:p>
      <w:pPr>
        <w:pStyle w:val="8"/>
        <w:rPr>
          <w:rFonts w:hint="eastAsia" w:ascii="仿宋_GB2312" w:hAnsi="仿宋_GB2312" w:eastAsia="仿宋_GB2312" w:cs="仿宋_GB2312"/>
        </w:rPr>
      </w:pPr>
    </w:p>
    <w:p>
      <w:pPr>
        <w:pStyle w:val="7"/>
        <w:adjustRightInd/>
        <w:spacing w:line="360" w:lineRule="auto"/>
        <w:ind w:firstLine="562" w:firstLineChars="200"/>
        <w:jc w:val="both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五、危险废物产生环节图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生产工艺流程及危险废物产生环节图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18"/>
          <w:lang w:val="en-US" w:eastAsia="zh-CN"/>
        </w:rPr>
        <w:t>（备注：按照环评或排污许可证绘制生产工艺流程图，并标出危险废物产生环节及相应危险废物）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污染物产生环节的详细说明</w:t>
      </w:r>
    </w:p>
    <w:tbl>
      <w:tblPr>
        <w:tblStyle w:val="5"/>
        <w:tblW w:w="11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119"/>
        <w:gridCol w:w="1039"/>
        <w:gridCol w:w="1191"/>
        <w:gridCol w:w="720"/>
        <w:gridCol w:w="3601"/>
        <w:gridCol w:w="15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环节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危险废物类别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危险废物代码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危险废物名称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危害特性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去 向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责任人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送至公司危险废物仓库，由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集中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管理，并最终交由资质单位转移处理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送至公司危险废物仓库，由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集中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管理，并最终交由资质单位转移处理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送至公司危险废物仓库，由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集中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管理，并最终交由资质单位转移处理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……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pStyle w:val="11"/>
              <w:snapToGrid w:val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pStyle w:val="11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pStyle w:val="8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仿宋_GB2312" w:hAnsi="仿宋_GB2312" w:eastAsia="仿宋_GB2312" w:cs="仿宋_GB2312"/>
          <w:b/>
          <w:bCs/>
          <w:sz w:val="22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18"/>
          <w:lang w:val="en-US" w:eastAsia="zh-CN"/>
        </w:rPr>
        <w:t>填写说明：</w:t>
      </w:r>
    </w:p>
    <w:p>
      <w:pPr>
        <w:pStyle w:val="8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仿宋_GB2312" w:hAnsi="仿宋_GB2312" w:eastAsia="仿宋_GB2312" w:cs="仿宋_GB2312"/>
          <w:b w:val="0"/>
          <w:bCs w:val="0"/>
          <w:sz w:val="22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18"/>
          <w:lang w:val="en-US" w:eastAsia="zh-CN"/>
        </w:rPr>
        <w:t>1.产废环节：具体描述产生该种危险废物的工艺环节。</w:t>
      </w:r>
    </w:p>
    <w:p>
      <w:pPr>
        <w:pStyle w:val="8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hint="eastAsia" w:ascii="仿宋_GB2312" w:hAnsi="仿宋_GB2312" w:eastAsia="仿宋_GB2312" w:cs="仿宋_GB2312"/>
          <w:b w:val="0"/>
          <w:bCs w:val="0"/>
          <w:sz w:val="22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18"/>
          <w:lang w:val="en-US" w:eastAsia="zh-CN"/>
        </w:rPr>
        <w:t>危险废物类别：根据《国家危险废物名录（2021年版）》填写具体的危险废物类别。</w:t>
      </w:r>
    </w:p>
    <w:p>
      <w:pPr>
        <w:pStyle w:val="8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hint="eastAsia" w:ascii="仿宋_GB2312" w:hAnsi="仿宋_GB2312" w:eastAsia="仿宋_GB2312" w:cs="仿宋_GB2312"/>
          <w:b w:val="0"/>
          <w:bCs w:val="0"/>
          <w:sz w:val="22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18"/>
          <w:lang w:val="en-US" w:eastAsia="zh-CN"/>
        </w:rPr>
        <w:t>危险废物代码：根据《国家危险废物名录（2021年版）》填写具体的危险废物代码。</w:t>
      </w:r>
    </w:p>
    <w:p>
      <w:pPr>
        <w:pStyle w:val="8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hint="eastAsia" w:ascii="仿宋_GB2312" w:hAnsi="仿宋_GB2312" w:eastAsia="仿宋_GB2312" w:cs="仿宋_GB2312"/>
          <w:b w:val="0"/>
          <w:bCs w:val="0"/>
          <w:sz w:val="22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18"/>
          <w:lang w:val="en-US" w:eastAsia="zh-CN"/>
        </w:rPr>
        <w:t>危害特性：根据《国家危险废物名录（2021年版）》填写危险废物种类相应的危险特性。</w:t>
      </w:r>
    </w:p>
    <w:p>
      <w:pPr>
        <w:pStyle w:val="8"/>
        <w:widowControl w:val="0"/>
        <w:numPr>
          <w:ilvl w:val="0"/>
          <w:numId w:val="0"/>
        </w:numPr>
        <w:tabs>
          <w:tab w:val="left" w:pos="312"/>
        </w:tabs>
        <w:autoSpaceDE w:val="0"/>
        <w:autoSpaceDN w:val="0"/>
        <w:adjustRightInd w:val="0"/>
        <w:rPr>
          <w:rFonts w:hint="eastAsia" w:ascii="仿宋_GB2312" w:hAnsi="仿宋_GB2312" w:eastAsia="仿宋_GB2312" w:cs="仿宋_GB2312"/>
          <w:b/>
          <w:bCs/>
          <w:sz w:val="22"/>
          <w:szCs w:val="18"/>
          <w:lang w:val="en-US" w:eastAsia="zh-CN"/>
        </w:rPr>
      </w:pPr>
    </w:p>
    <w:p>
      <w:pPr>
        <w:pStyle w:val="7"/>
        <w:adjustRightInd/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</w:p>
    <w:p>
      <w:pPr>
        <w:pStyle w:val="7"/>
        <w:adjustRightInd/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</w:p>
    <w:p>
      <w:pPr>
        <w:pStyle w:val="7"/>
        <w:adjustRightInd/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备注：本模板仅供参考，企业需根据自身实际情况制定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工业危险废物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管理制度。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8949725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A315F"/>
    <w:multiLevelType w:val="singleLevel"/>
    <w:tmpl w:val="198A31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B89ECC"/>
    <w:multiLevelType w:val="multilevel"/>
    <w:tmpl w:val="50B89EC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"/>
      <w:lvlJc w:val="left"/>
      <w:pPr>
        <w:ind w:left="575" w:hanging="575"/>
      </w:pPr>
      <w:rPr>
        <w:rFonts w:hint="default" w:ascii="Times New Roman" w:hAnsi="Times New Roman" w:eastAsia="宋体" w:cs="宋体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5FFDF2BD"/>
    <w:multiLevelType w:val="singleLevel"/>
    <w:tmpl w:val="5FFDF2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35469"/>
    <w:rsid w:val="2C1412AC"/>
    <w:rsid w:val="4A69389D"/>
    <w:rsid w:val="6094313D"/>
    <w:rsid w:val="63A35469"/>
    <w:rsid w:val="6842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仿宋"/>
      <w:b/>
      <w:bCs/>
      <w:kern w:val="0"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CM8"/>
    <w:next w:val="8"/>
    <w:unhideWhenUsed/>
    <w:qFormat/>
    <w:uiPriority w:val="99"/>
    <w:pPr>
      <w:widowControl w:val="0"/>
      <w:autoSpaceDE w:val="0"/>
      <w:autoSpaceDN w:val="0"/>
      <w:adjustRightInd w:val="0"/>
      <w:spacing w:line="600" w:lineRule="atLeast"/>
    </w:pPr>
    <w:rPr>
      <w:rFonts w:ascii="华文中宋" w:hAnsi="华文中宋" w:eastAsia="华文中宋" w:cs="Times New Roman"/>
      <w:color w:val="000000"/>
      <w:sz w:val="24"/>
      <w:lang w:val="en-US" w:eastAsia="zh-CN" w:bidi="ar-SA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华文中宋" w:hAnsi="华文中宋" w:eastAsia="华文中宋" w:cs="Times New Roman"/>
      <w:color w:val="000000"/>
      <w:sz w:val="24"/>
      <w:lang w:val="en-US" w:eastAsia="zh-CN" w:bidi="ar-SA"/>
    </w:rPr>
  </w:style>
  <w:style w:type="paragraph" w:customStyle="1" w:styleId="9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table" w:customStyle="1" w:styleId="10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2023-01-06T08:50:00Z</dcterms:created>
  <dc:creator>袁素芬</dc:creator>
  <cp:lastModifiedBy>袁素芬</cp:lastModifiedBy>
  <dcterms:modified xsi:type="dcterms:W3CDTF">2023-01-29T03:41:56Z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A546DD9DF8E445ACBCEE6A19B051ACCB</vt:lpwstr>
  </property>
</Properties>
</file>