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66B3">
      <w:pPr>
        <w:keepNext w:val="0"/>
        <w:keepLines w:val="0"/>
        <w:pageBreakBefore w:val="0"/>
        <w:widowControl w:val="0"/>
        <w:numPr>
          <w:ilvl w:val="0"/>
          <w:numId w:val="0"/>
        </w:numPr>
        <w:kinsoku/>
        <w:wordWrap/>
        <w:topLinePunct w:val="0"/>
        <w:bidi w:val="0"/>
        <w:spacing w:after="0" w:afterLines="0" w:afterAutospacing="0" w:line="574" w:lineRule="exact"/>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附件1</w:t>
      </w:r>
    </w:p>
    <w:p w14:paraId="4F7E3331">
      <w:pPr>
        <w:keepNext w:val="0"/>
        <w:keepLines w:val="0"/>
        <w:pageBreakBefore w:val="0"/>
        <w:widowControl w:val="0"/>
        <w:numPr>
          <w:ilvl w:val="0"/>
          <w:numId w:val="0"/>
        </w:numPr>
        <w:kinsoku/>
        <w:wordWrap/>
        <w:topLinePunct w:val="0"/>
        <w:bidi w:val="0"/>
        <w:spacing w:after="0" w:afterLines="0" w:afterAutospacing="0" w:line="574" w:lineRule="exact"/>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szCs w:val="22"/>
          <w:highlight w:val="none"/>
          <w:lang w:val="en-US" w:eastAsia="zh-CN" w:bidi="ar-SA"/>
        </w:rPr>
      </w:pPr>
    </w:p>
    <w:p w14:paraId="325E235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default" w:ascii="Times New Roman" w:hAnsi="Times New Roman" w:eastAsia="楷体_GB2312" w:cs="Times New Roman"/>
          <w:color w:val="000000"/>
          <w:sz w:val="32"/>
          <w:szCs w:val="40"/>
          <w:highlight w:val="none"/>
          <w:lang w:val="en-US" w:eastAsia="zh-CN" w:bidi="ar-SA"/>
        </w:rPr>
      </w:pPr>
      <w:r>
        <w:rPr>
          <w:rFonts w:hint="default" w:ascii="Times New Roman" w:hAnsi="Times New Roman" w:eastAsia="方正小标宋简体" w:cs="Times New Roman"/>
          <w:color w:val="000000"/>
          <w:sz w:val="44"/>
          <w:szCs w:val="44"/>
          <w:highlight w:val="none"/>
          <w:lang w:val="en-US" w:eastAsia="zh-CN" w:bidi="ar-SA"/>
        </w:rPr>
        <w:t xml:space="preserve">  中山市生态环境局2024年行政许可实施和监督管理情况报告</w:t>
      </w:r>
    </w:p>
    <w:p w14:paraId="44A641DF">
      <w:pPr>
        <w:keepNext w:val="0"/>
        <w:keepLines w:val="0"/>
        <w:pageBreakBefore w:val="0"/>
        <w:widowControl w:val="0"/>
        <w:kinsoku/>
        <w:topLinePunct w:val="0"/>
        <w:bidi w:val="0"/>
        <w:spacing w:after="0" w:afterLines="0" w:afterAutospacing="0" w:line="574" w:lineRule="exact"/>
        <w:ind w:left="0" w:leftChars="0" w:right="0" w:rightChars="0"/>
        <w:jc w:val="both"/>
        <w:textAlignment w:val="auto"/>
        <w:rPr>
          <w:rFonts w:hint="default" w:ascii="Times New Roman" w:hAnsi="Times New Roman" w:eastAsia="宋体" w:cs="Times New Roman"/>
          <w:kern w:val="2"/>
          <w:sz w:val="21"/>
          <w:szCs w:val="22"/>
          <w:highlight w:val="none"/>
          <w:lang w:val="en-US" w:eastAsia="zh-CN" w:bidi="ar-SA"/>
        </w:rPr>
      </w:pPr>
    </w:p>
    <w:p w14:paraId="681EE814">
      <w:pPr>
        <w:keepNext w:val="0"/>
        <w:keepLines w:val="0"/>
        <w:pageBreakBefore w:val="0"/>
        <w:widowControl w:val="0"/>
        <w:kinsoku/>
        <w:overflowPunct w:val="0"/>
        <w:topLinePunct w:val="0"/>
        <w:autoSpaceDE w:val="0"/>
        <w:autoSpaceDN w:val="0"/>
        <w:bidi w:val="0"/>
        <w:adjustRightInd w:val="0"/>
        <w:snapToGrid w:val="0"/>
        <w:spacing w:line="574" w:lineRule="exact"/>
        <w:ind w:left="0" w:leftChars="0" w:right="0" w:rightChars="0"/>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市政府：</w:t>
      </w:r>
    </w:p>
    <w:p w14:paraId="56BFAA38">
      <w:pPr>
        <w:keepNext w:val="0"/>
        <w:keepLines w:val="0"/>
        <w:pageBreakBefore w:val="0"/>
        <w:widowControl w:val="0"/>
        <w:kinsoku/>
        <w:overflowPunct w:val="0"/>
        <w:topLinePunct w:val="0"/>
        <w:autoSpaceDE w:val="0"/>
        <w:autoSpaceDN w:val="0"/>
        <w:bidi w:val="0"/>
        <w:adjustRightInd w:val="0"/>
        <w:snapToGrid w:val="0"/>
        <w:spacing w:line="574" w:lineRule="exact"/>
        <w:ind w:left="0" w:leftChars="0" w:right="0" w:rightChars="0" w:firstLine="664" w:firstLineChars="200"/>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根据《关于开展行政许可实施和监督管理情况年度报告工作的通知》要求，现将我局2024年行政许可实施和监督管理情况报告如下：</w:t>
      </w:r>
    </w:p>
    <w:p w14:paraId="55612E37">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一、基本情况</w:t>
      </w:r>
    </w:p>
    <w:p w14:paraId="15283C37">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（一）现有事项及办理情况</w:t>
      </w:r>
    </w:p>
    <w:p w14:paraId="77BB840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2"/>
          <w:sz w:val="32"/>
          <w:szCs w:val="32"/>
          <w:highlight w:val="none"/>
        </w:rPr>
      </w:pPr>
      <w:r>
        <w:rPr>
          <w:rFonts w:hint="default" w:ascii="Times New Roman" w:hAnsi="Times New Roman" w:eastAsia="仿宋_GB2312" w:cs="Times New Roman"/>
          <w:spacing w:val="0"/>
          <w:kern w:val="2"/>
          <w:sz w:val="32"/>
          <w:szCs w:val="32"/>
          <w:highlight w:val="none"/>
          <w:lang w:val="en-US" w:eastAsia="zh-CN" w:bidi="ar"/>
        </w:rPr>
        <w:t>2024年，我局保留行政许可审批事项13大项，均已进驻广东省政务服务网；全年接到行政许可审批申请3305件，共受理行政许可审批申请3008件，办结3043件，审批同意2407件。</w:t>
      </w:r>
    </w:p>
    <w:p w14:paraId="3DA0CED4">
      <w:pPr>
        <w:keepNext w:val="0"/>
        <w:keepLines w:val="0"/>
        <w:widowControl w:val="0"/>
        <w:suppressLineNumbers w:val="0"/>
        <w:spacing w:before="0" w:beforeAutospacing="0" w:after="0" w:afterAutospacing="0"/>
        <w:ind w:left="0" w:right="0" w:firstLine="664"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bCs/>
          <w:spacing w:val="6"/>
          <w:kern w:val="2"/>
          <w:sz w:val="32"/>
          <w:szCs w:val="32"/>
          <w:highlight w:val="none"/>
          <w:lang w:val="en-US" w:eastAsia="zh-CN" w:bidi="ar"/>
        </w:rPr>
        <w:t>2024年，按照相关法律法</w:t>
      </w:r>
      <w:r>
        <w:rPr>
          <w:rFonts w:hint="default" w:ascii="Times New Roman" w:hAnsi="Times New Roman" w:eastAsia="仿宋_GB2312" w:cs="Times New Roman"/>
          <w:spacing w:val="0"/>
          <w:kern w:val="2"/>
          <w:sz w:val="32"/>
          <w:szCs w:val="32"/>
          <w:highlight w:val="none"/>
          <w:lang w:val="en-US" w:eastAsia="zh-CN" w:bidi="ar"/>
        </w:rPr>
        <w:t>规要求，部分涉及我局的行政许可审批事项有所调整，原“防治污染设施拆除或闲置审批”以及“海洋工程建设项目的环境保护设施验收”</w:t>
      </w:r>
      <w:bookmarkStart w:id="0" w:name="_GoBack"/>
      <w:bookmarkEnd w:id="0"/>
      <w:r>
        <w:rPr>
          <w:rFonts w:hint="default" w:ascii="Times New Roman" w:hAnsi="Times New Roman" w:eastAsia="仿宋_GB2312" w:cs="Times New Roman"/>
          <w:spacing w:val="0"/>
          <w:kern w:val="2"/>
          <w:sz w:val="32"/>
          <w:szCs w:val="32"/>
          <w:highlight w:val="none"/>
          <w:lang w:val="en-US" w:eastAsia="zh-CN" w:bidi="ar"/>
        </w:rPr>
        <w:t>审批事项</w:t>
      </w:r>
      <w:r>
        <w:rPr>
          <w:rFonts w:hint="default" w:ascii="Times New Roman" w:hAnsi="Times New Roman" w:eastAsia="仿宋_GB2312" w:cs="Times New Roman"/>
          <w:bCs/>
          <w:spacing w:val="6"/>
          <w:kern w:val="2"/>
          <w:sz w:val="32"/>
          <w:szCs w:val="32"/>
          <w:highlight w:val="none"/>
          <w:lang w:val="en-US" w:eastAsia="zh-CN" w:bidi="ar"/>
        </w:rPr>
        <w:t>取消。</w:t>
      </w:r>
    </w:p>
    <w:p w14:paraId="7FD8A3FA">
      <w:pPr>
        <w:keepNext w:val="0"/>
        <w:keepLines w:val="0"/>
        <w:pageBreakBefore w:val="0"/>
        <w:widowControl w:val="0"/>
        <w:numPr>
          <w:ilvl w:val="0"/>
          <w:numId w:val="1"/>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依法实施情况</w:t>
      </w:r>
    </w:p>
    <w:p w14:paraId="182B0086">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pacing w:val="0"/>
          <w:kern w:val="2"/>
          <w:sz w:val="32"/>
          <w:szCs w:val="32"/>
          <w:highlight w:val="none"/>
          <w:lang w:val="en-US" w:eastAsia="zh-CN" w:bidi="ar"/>
        </w:rPr>
        <w:t>我局严格遵守《中华人民共和国行政许可法》《中华人民共和国环境影响评价法》等法律法规，依照法定程序和条件，开展行政许可实施及监督管理工作，严格审批材料审核把关，不断优化审批流程，规范审批程序。2024年11月，</w:t>
      </w:r>
      <w:r>
        <w:rPr>
          <w:rFonts w:hint="default" w:ascii="Times New Roman" w:hAnsi="Times New Roman" w:eastAsia="仿宋_GB2312" w:cs="Times New Roman"/>
          <w:kern w:val="2"/>
          <w:sz w:val="32"/>
          <w:szCs w:val="32"/>
          <w:highlight w:val="none"/>
          <w:lang w:val="en-US" w:eastAsia="zh-CN" w:bidi="ar"/>
        </w:rPr>
        <w:t>根据《中山市人民政府关于印发&lt;2024年市镇政务服务事项调整清单&gt;的通知（中府函〔2024〕247号）》要求，我局在现有事权委托协议书基础上，对有关事权内容进行了调整，</w:t>
      </w:r>
      <w:r>
        <w:rPr>
          <w:rFonts w:hint="eastAsia" w:ascii="Times New Roman" w:hAnsi="Times New Roman" w:eastAsia="仿宋_GB2312" w:cs="Times New Roman"/>
          <w:kern w:val="2"/>
          <w:sz w:val="32"/>
          <w:szCs w:val="32"/>
          <w:highlight w:val="none"/>
          <w:lang w:val="en-US" w:eastAsia="zh-CN" w:bidi="ar"/>
        </w:rPr>
        <w:t>与镇街签订了委托协议，各</w:t>
      </w:r>
      <w:r>
        <w:rPr>
          <w:rFonts w:hint="default" w:ascii="Times New Roman" w:hAnsi="Times New Roman" w:eastAsia="仿宋_GB2312" w:cs="Times New Roman"/>
          <w:spacing w:val="0"/>
          <w:kern w:val="2"/>
          <w:sz w:val="32"/>
          <w:szCs w:val="32"/>
          <w:highlight w:val="none"/>
          <w:lang w:val="en-US" w:eastAsia="zh-CN" w:bidi="ar"/>
        </w:rPr>
        <w:t>镇街按照行政审批权限调整内容及要求，</w:t>
      </w:r>
      <w:r>
        <w:rPr>
          <w:rFonts w:hint="eastAsia" w:ascii="Times New Roman" w:hAnsi="Times New Roman" w:eastAsia="仿宋_GB2312" w:cs="Times New Roman"/>
          <w:spacing w:val="0"/>
          <w:kern w:val="2"/>
          <w:sz w:val="32"/>
          <w:szCs w:val="32"/>
          <w:highlight w:val="none"/>
          <w:lang w:val="en-US" w:eastAsia="zh-CN" w:bidi="ar"/>
        </w:rPr>
        <w:t>按照</w:t>
      </w:r>
      <w:r>
        <w:rPr>
          <w:rFonts w:hint="default" w:ascii="Times New Roman" w:hAnsi="Times New Roman" w:eastAsia="仿宋_GB2312" w:cs="Times New Roman"/>
          <w:spacing w:val="0"/>
          <w:kern w:val="2"/>
          <w:sz w:val="32"/>
          <w:szCs w:val="32"/>
          <w:highlight w:val="none"/>
          <w:lang w:val="en-US" w:eastAsia="zh-CN" w:bidi="ar"/>
        </w:rPr>
        <w:t>法律法规</w:t>
      </w:r>
      <w:r>
        <w:rPr>
          <w:rFonts w:hint="eastAsia" w:ascii="Times New Roman" w:hAnsi="Times New Roman" w:eastAsia="仿宋_GB2312" w:cs="Times New Roman"/>
          <w:spacing w:val="0"/>
          <w:kern w:val="2"/>
          <w:sz w:val="32"/>
          <w:szCs w:val="32"/>
          <w:highlight w:val="none"/>
          <w:lang w:val="en-US" w:eastAsia="zh-CN" w:bidi="ar"/>
        </w:rPr>
        <w:t>等</w:t>
      </w:r>
      <w:r>
        <w:rPr>
          <w:rFonts w:hint="default" w:ascii="Times New Roman" w:hAnsi="Times New Roman" w:eastAsia="仿宋_GB2312" w:cs="Times New Roman"/>
          <w:spacing w:val="0"/>
          <w:kern w:val="2"/>
          <w:sz w:val="32"/>
          <w:szCs w:val="32"/>
          <w:highlight w:val="none"/>
          <w:lang w:val="en-US" w:eastAsia="zh-CN" w:bidi="ar"/>
        </w:rPr>
        <w:t>规定的审批权限、范围、程序、条件等要素进行项目审批，未发现降级审批、越权审批情况。</w:t>
      </w:r>
    </w:p>
    <w:p w14:paraId="384358CA">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（三）公开公示情况</w:t>
      </w:r>
    </w:p>
    <w:p w14:paraId="2043F50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2"/>
          <w:sz w:val="32"/>
          <w:szCs w:val="32"/>
          <w:highlight w:val="none"/>
        </w:rPr>
      </w:pPr>
      <w:r>
        <w:rPr>
          <w:rFonts w:hint="default" w:ascii="Times New Roman" w:hAnsi="Times New Roman" w:eastAsia="仿宋_GB2312" w:cs="Times New Roman"/>
          <w:spacing w:val="0"/>
          <w:kern w:val="2"/>
          <w:sz w:val="32"/>
          <w:szCs w:val="32"/>
          <w:highlight w:val="none"/>
          <w:lang w:val="en-US" w:eastAsia="zh-CN" w:bidi="ar"/>
        </w:rPr>
        <w:t>我局行政许可审批事项标准化文件均在广东省政务服务网公开，公开内容包括实施主体、依据、程序、条件、期限、申请材料及办法、收费标准、申请书格式文本、咨询投诉途径等信息的方式、范围等，办事群众可在线下载办事指南和申请材料，实时查询办件进度及结果。</w:t>
      </w:r>
    </w:p>
    <w:p w14:paraId="627CC183">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0"/>
          <w:sz w:val="32"/>
          <w:szCs w:val="32"/>
          <w:highlight w:val="none"/>
          <w:lang w:val="en-US" w:eastAsia="zh-CN" w:bidi="ar"/>
        </w:rPr>
      </w:pPr>
      <w:r>
        <w:rPr>
          <w:rFonts w:hint="default" w:ascii="Times New Roman" w:hAnsi="Times New Roman" w:eastAsia="仿宋_GB2312" w:cs="Times New Roman"/>
          <w:spacing w:val="0"/>
          <w:kern w:val="2"/>
          <w:sz w:val="32"/>
          <w:szCs w:val="32"/>
          <w:highlight w:val="none"/>
          <w:lang w:val="en-US" w:eastAsia="zh-CN" w:bidi="ar"/>
        </w:rPr>
        <w:t>及时在各平台公开行政许可实施结果。按要求</w:t>
      </w:r>
      <w:r>
        <w:rPr>
          <w:rFonts w:hint="default" w:ascii="Times New Roman" w:hAnsi="Times New Roman" w:eastAsia="仿宋_GB2312" w:cs="Times New Roman"/>
          <w:spacing w:val="0"/>
          <w:kern w:val="0"/>
          <w:sz w:val="32"/>
          <w:szCs w:val="32"/>
          <w:highlight w:val="none"/>
          <w:lang w:val="en-US" w:eastAsia="zh-CN" w:bidi="ar"/>
        </w:rPr>
        <w:t>在中山市生态环境局政务网公开</w:t>
      </w:r>
      <w:r>
        <w:rPr>
          <w:rFonts w:hint="default" w:ascii="Times New Roman" w:hAnsi="Times New Roman" w:eastAsia="仿宋_GB2312" w:cs="Times New Roman"/>
          <w:spacing w:val="0"/>
          <w:kern w:val="2"/>
          <w:sz w:val="32"/>
          <w:szCs w:val="32"/>
          <w:highlight w:val="none"/>
          <w:lang w:val="en-US" w:eastAsia="zh-CN" w:bidi="ar"/>
        </w:rPr>
        <w:t>建设项目环境影响评价文件审批信息</w:t>
      </w:r>
      <w:r>
        <w:rPr>
          <w:rFonts w:hint="default" w:ascii="Times New Roman" w:hAnsi="Times New Roman" w:eastAsia="仿宋_GB2312" w:cs="Times New Roman"/>
          <w:spacing w:val="0"/>
          <w:kern w:val="0"/>
          <w:sz w:val="32"/>
          <w:szCs w:val="32"/>
          <w:highlight w:val="none"/>
          <w:lang w:val="en-US" w:eastAsia="zh-CN" w:bidi="ar"/>
        </w:rPr>
        <w:t>，公示内容包括受理公告、审批前公示及审批后公示；按要求在</w:t>
      </w:r>
      <w:r>
        <w:rPr>
          <w:rFonts w:hint="default" w:ascii="Times New Roman" w:hAnsi="Times New Roman" w:eastAsia="仿宋_GB2312" w:cs="Times New Roman"/>
          <w:spacing w:val="0"/>
          <w:kern w:val="2"/>
          <w:sz w:val="32"/>
          <w:szCs w:val="32"/>
          <w:highlight w:val="none"/>
          <w:lang w:val="en-US" w:eastAsia="zh-CN" w:bidi="ar"/>
        </w:rPr>
        <w:t>全国排污许可证管理信息平台公开</w:t>
      </w:r>
      <w:r>
        <w:rPr>
          <w:rFonts w:hint="default" w:ascii="Times New Roman" w:hAnsi="Times New Roman" w:eastAsia="仿宋_GB2312" w:cs="Times New Roman"/>
          <w:spacing w:val="0"/>
          <w:kern w:val="0"/>
          <w:sz w:val="32"/>
          <w:szCs w:val="32"/>
          <w:highlight w:val="none"/>
          <w:lang w:val="en-US" w:eastAsia="zh-CN" w:bidi="ar"/>
        </w:rPr>
        <w:t>排污许可证核发信息</w:t>
      </w:r>
      <w:r>
        <w:rPr>
          <w:rFonts w:hint="default" w:ascii="Times New Roman" w:hAnsi="Times New Roman" w:eastAsia="仿宋_GB2312" w:cs="Times New Roman"/>
          <w:spacing w:val="0"/>
          <w:kern w:val="2"/>
          <w:sz w:val="32"/>
          <w:szCs w:val="32"/>
          <w:highlight w:val="none"/>
          <w:lang w:val="en-US" w:eastAsia="zh-CN" w:bidi="ar"/>
        </w:rPr>
        <w:t>；</w:t>
      </w:r>
      <w:r>
        <w:rPr>
          <w:rFonts w:hint="default" w:ascii="Times New Roman" w:hAnsi="Times New Roman" w:eastAsia="仿宋_GB2312" w:cs="Times New Roman"/>
          <w:spacing w:val="0"/>
          <w:kern w:val="0"/>
          <w:sz w:val="32"/>
          <w:szCs w:val="32"/>
          <w:highlight w:val="none"/>
          <w:lang w:val="en-US" w:eastAsia="zh-CN" w:bidi="ar"/>
        </w:rPr>
        <w:t>其余审批事项按照行政许可审批信息公开公示的要求，在本单位网站及时公示行政审批决定及相关信息。</w:t>
      </w:r>
    </w:p>
    <w:p w14:paraId="02A846A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pacing w:val="0"/>
          <w:kern w:val="0"/>
          <w:sz w:val="32"/>
          <w:szCs w:val="32"/>
          <w:highlight w:val="none"/>
        </w:rPr>
        <w:t>配合做好“双公示”及“开放中山”平台的行政许可信息数据更新。在作出行政许可决定</w:t>
      </w:r>
      <w:r>
        <w:rPr>
          <w:rFonts w:hint="default" w:ascii="Times New Roman" w:hAnsi="Times New Roman" w:eastAsia="宋体" w:cs="Times New Roman"/>
          <w:spacing w:val="0"/>
          <w:kern w:val="0"/>
          <w:sz w:val="32"/>
          <w:szCs w:val="32"/>
          <w:highlight w:val="none"/>
        </w:rPr>
        <w:t>7</w:t>
      </w:r>
      <w:r>
        <w:rPr>
          <w:rFonts w:hint="default" w:ascii="Times New Roman" w:hAnsi="Times New Roman" w:eastAsia="仿宋_GB2312" w:cs="Times New Roman"/>
          <w:spacing w:val="0"/>
          <w:kern w:val="0"/>
          <w:sz w:val="32"/>
          <w:szCs w:val="32"/>
          <w:highlight w:val="none"/>
        </w:rPr>
        <w:t>个工作日内，按照规则标准归集合格数据后在“双公示”平台进行发布，并定期在“开放中山”平台发布更新行政许可信息的季度数据。</w:t>
      </w:r>
    </w:p>
    <w:p w14:paraId="08452733">
      <w:pPr>
        <w:keepNext w:val="0"/>
        <w:keepLines w:val="0"/>
        <w:pageBreakBefore w:val="0"/>
        <w:widowControl w:val="0"/>
        <w:numPr>
          <w:ilvl w:val="0"/>
          <w:numId w:val="0"/>
        </w:numPr>
        <w:kinsoku/>
        <w:topLinePunct w:val="0"/>
        <w:bidi w:val="0"/>
        <w:spacing w:after="0" w:afterLines="0" w:afterAutospacing="0" w:line="574" w:lineRule="exact"/>
        <w:ind w:left="688" w:leftChars="0" w:right="0" w:rightChars="0"/>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（四）监督管理情况</w:t>
      </w:r>
    </w:p>
    <w:p w14:paraId="5B7A3317">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kern w:val="2"/>
          <w:sz w:val="32"/>
          <w:szCs w:val="32"/>
          <w:highlight w:val="none"/>
          <w:lang w:val="en-US" w:eastAsia="zh-CN" w:bidi="ar"/>
        </w:rPr>
        <w:t>2024年，</w:t>
      </w:r>
      <w:r>
        <w:rPr>
          <w:rFonts w:hint="eastAsia" w:ascii="Times New Roman" w:hAnsi="Times New Roman" w:eastAsia="仿宋_GB2312" w:cs="Times New Roman"/>
          <w:kern w:val="2"/>
          <w:sz w:val="32"/>
          <w:szCs w:val="32"/>
          <w:highlight w:val="none"/>
          <w:lang w:val="en-US" w:eastAsia="zh-CN" w:bidi="ar"/>
        </w:rPr>
        <w:t>我</w:t>
      </w:r>
      <w:r>
        <w:rPr>
          <w:rFonts w:hint="default" w:ascii="Times New Roman" w:hAnsi="Times New Roman" w:eastAsia="仿宋_GB2312" w:cs="Times New Roman"/>
          <w:kern w:val="2"/>
          <w:sz w:val="32"/>
          <w:szCs w:val="32"/>
          <w:highlight w:val="none"/>
          <w:lang w:val="en-US" w:eastAsia="zh-CN" w:bidi="ar"/>
        </w:rPr>
        <w:t>局充分发挥社会监督作用，畅通投诉举报渠道，依托生态环境污染投诉举报管理平台、12345政务服务热线等平台，按照法定途径依法分类处理信访事项，及时受理社会公众举报，依法转办、交办生态环境信访事项，主动回应和解决群众诉求，未发现有涉及行政许可实施的环境违法案件。2024年，全市现场检查出动执法人员51022人次，现场检查企业22266家次。其中，市局出动1632人次，检查企业696家次；镇街出动49390人次，检查企业21570家次，对企业环保手续及其他环保守法情况进行全面检查，未发现有涉及行政许可实施的环境违法案件。我局按照《中山市生态环</w:t>
      </w:r>
      <w:r>
        <w:rPr>
          <w:rFonts w:hint="default" w:ascii="Times New Roman" w:hAnsi="Times New Roman" w:eastAsia="仿宋_GB2312" w:cs="Times New Roman"/>
          <w:spacing w:val="0"/>
          <w:kern w:val="2"/>
          <w:sz w:val="32"/>
          <w:szCs w:val="32"/>
          <w:highlight w:val="none"/>
          <w:lang w:val="en-US" w:eastAsia="zh-CN" w:bidi="ar"/>
        </w:rPr>
        <w:t>境局委托镇街依申请事权运行监督管理办法》，对委托镇街实施的依申请事项进行检查，未发现有涉及行政许可实施的环境违法案件。</w:t>
      </w:r>
    </w:p>
    <w:p w14:paraId="2288E2D4">
      <w:pPr>
        <w:keepNext w:val="0"/>
        <w:keepLines w:val="0"/>
        <w:pageBreakBefore w:val="0"/>
        <w:widowControl w:val="0"/>
        <w:numPr>
          <w:ilvl w:val="0"/>
          <w:numId w:val="0"/>
        </w:numPr>
        <w:kinsoku/>
        <w:topLinePunct w:val="0"/>
        <w:bidi w:val="0"/>
        <w:spacing w:after="0" w:afterLines="0" w:afterAutospacing="0" w:line="574" w:lineRule="exact"/>
        <w:ind w:left="688" w:leftChars="0" w:right="0" w:rightChars="0"/>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仿宋_GB2312" w:cs="Times New Roman"/>
          <w:snapToGrid w:val="0"/>
          <w:color w:val="000000"/>
          <w:spacing w:val="6"/>
          <w:kern w:val="32"/>
          <w:sz w:val="32"/>
          <w:szCs w:val="22"/>
          <w:highlight w:val="none"/>
          <w:lang w:val="en-US" w:eastAsia="zh-CN" w:bidi="ar-SA"/>
        </w:rPr>
        <w:t>（五）实施效果</w:t>
      </w:r>
    </w:p>
    <w:p w14:paraId="43AC7F9C">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spacing w:val="0"/>
          <w:kern w:val="0"/>
          <w:sz w:val="32"/>
          <w:szCs w:val="32"/>
          <w:highlight w:val="none"/>
          <w:lang w:val="en-US" w:eastAsia="zh-CN" w:bidi="ar"/>
        </w:rPr>
      </w:pPr>
      <w:r>
        <w:rPr>
          <w:rFonts w:hint="default" w:ascii="Times New Roman" w:hAnsi="Times New Roman" w:eastAsia="仿宋_GB2312" w:cs="Times New Roman"/>
          <w:spacing w:val="0"/>
          <w:kern w:val="0"/>
          <w:sz w:val="32"/>
          <w:szCs w:val="32"/>
          <w:highlight w:val="none"/>
          <w:lang w:val="en-US" w:eastAsia="zh-CN" w:bidi="ar"/>
        </w:rPr>
        <w:t>2024年，我局发布《中山市建设项目环境影响报告表（污染类）编制技术指南》《中山市金属表面处理行业（不含电镀）建设项目环评编制技术指南》《中山市塑料制品建设项目环境影响报告表编制技术指南》，每季度定期发布《在中山市开展环评编制单位能力情况一览表》，不断优化对企业及镇街审批人员的指引；印发《关于明确城镇污水处理厂以及农村生活污水处理设施入河排污口设置审核报送材料要求的通知》，进一步规范城镇污水处理厂以及农村生活污水处理设施入河排污口设置审核工作，助力全市未达标水体整治；印发《中山市生态环境局建设项目环境影响评价技术评估工作程序（2024年修订）》，进一步规范中山市建设项目环境影响技术评估工作，严格依法行政。</w:t>
      </w:r>
    </w:p>
    <w:p w14:paraId="11C0757B">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cs="Times New Roman"/>
          <w:highlight w:val="none"/>
          <w:lang w:val="en-US" w:eastAsia="zh-CN"/>
        </w:rPr>
      </w:pPr>
      <w:r>
        <w:rPr>
          <w:rFonts w:hint="default" w:ascii="Times New Roman" w:hAnsi="Times New Roman" w:eastAsia="仿宋_GB2312" w:cs="Times New Roman"/>
          <w:spacing w:val="0"/>
          <w:kern w:val="0"/>
          <w:sz w:val="32"/>
          <w:szCs w:val="32"/>
          <w:highlight w:val="none"/>
          <w:lang w:val="en-US" w:eastAsia="zh-CN" w:bidi="ar"/>
        </w:rPr>
        <w:t>2024年，我局行政许可实施和监督管理整体运行情况较好，市镇两级各司其职，实施有序，切实体现“权责清晰、分工合理、权责一致、运转高速、法治保障”的事权运行监督管理机制。2024年，我局政务服务好差评总评分10分，其中政务服务网评分10分，实体大厅评分10分，行政相对人对我局行政审批服务认可度和满意度较高。</w:t>
      </w:r>
    </w:p>
    <w:p w14:paraId="59D2D341">
      <w:pPr>
        <w:keepNext w:val="0"/>
        <w:keepLines w:val="0"/>
        <w:pageBreakBefore w:val="0"/>
        <w:widowControl w:val="0"/>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二、存在问题和困难</w:t>
      </w:r>
    </w:p>
    <w:p w14:paraId="3CD08B8D">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0"/>
          <w:sz w:val="32"/>
          <w:szCs w:val="32"/>
          <w:highlight w:val="none"/>
        </w:rPr>
      </w:pPr>
      <w:r>
        <w:rPr>
          <w:rFonts w:hint="eastAsia" w:ascii="Times New Roman" w:hAnsi="Times New Roman" w:eastAsia="仿宋_GB2312" w:cs="Times New Roman"/>
          <w:spacing w:val="0"/>
          <w:kern w:val="0"/>
          <w:sz w:val="32"/>
          <w:szCs w:val="32"/>
          <w:highlight w:val="none"/>
          <w:lang w:val="en-US" w:eastAsia="zh-CN" w:bidi="ar"/>
        </w:rPr>
        <w:t>（一）</w:t>
      </w:r>
      <w:r>
        <w:rPr>
          <w:rFonts w:hint="default" w:ascii="Times New Roman" w:hAnsi="Times New Roman" w:eastAsia="仿宋_GB2312" w:cs="Times New Roman"/>
          <w:spacing w:val="0"/>
          <w:kern w:val="0"/>
          <w:sz w:val="32"/>
          <w:szCs w:val="32"/>
          <w:highlight w:val="none"/>
          <w:lang w:val="en-US" w:eastAsia="zh-CN" w:bidi="ar"/>
        </w:rPr>
        <w:t>镇街生态环境部门审批人员的业务能力还需加强。镇街生态环境部门对于新承接行政许可审批事项的业务知识仍有待加强</w:t>
      </w:r>
      <w:r>
        <w:rPr>
          <w:rFonts w:hint="eastAsia" w:ascii="Times New Roman" w:hAnsi="Times New Roman" w:eastAsia="仿宋_GB2312" w:cs="Times New Roman"/>
          <w:spacing w:val="0"/>
          <w:kern w:val="0"/>
          <w:sz w:val="32"/>
          <w:szCs w:val="32"/>
          <w:highlight w:val="none"/>
          <w:lang w:val="en-US" w:eastAsia="zh-CN" w:bidi="ar"/>
        </w:rPr>
        <w:t>，且存在</w:t>
      </w:r>
      <w:r>
        <w:rPr>
          <w:rFonts w:hint="default" w:ascii="Times New Roman" w:hAnsi="Times New Roman" w:eastAsia="仿宋_GB2312" w:cs="Times New Roman"/>
          <w:spacing w:val="0"/>
          <w:kern w:val="0"/>
          <w:sz w:val="32"/>
          <w:szCs w:val="32"/>
          <w:highlight w:val="none"/>
          <w:lang w:val="en-US" w:eastAsia="zh-CN" w:bidi="ar"/>
        </w:rPr>
        <w:t>审批人员</w:t>
      </w:r>
      <w:r>
        <w:rPr>
          <w:rFonts w:hint="eastAsia" w:ascii="Times New Roman" w:hAnsi="Times New Roman" w:eastAsia="仿宋_GB2312" w:cs="Times New Roman"/>
          <w:spacing w:val="0"/>
          <w:kern w:val="0"/>
          <w:sz w:val="32"/>
          <w:szCs w:val="32"/>
          <w:highlight w:val="none"/>
          <w:lang w:val="en-US" w:eastAsia="zh-CN" w:bidi="ar"/>
        </w:rPr>
        <w:t>数量不足以及调整频繁等情况</w:t>
      </w:r>
      <w:r>
        <w:rPr>
          <w:rFonts w:hint="default" w:ascii="Times New Roman" w:hAnsi="Times New Roman" w:eastAsia="仿宋_GB2312" w:cs="Times New Roman"/>
          <w:spacing w:val="0"/>
          <w:kern w:val="0"/>
          <w:sz w:val="32"/>
          <w:szCs w:val="32"/>
          <w:highlight w:val="none"/>
          <w:lang w:val="en-US" w:eastAsia="zh-CN" w:bidi="ar"/>
        </w:rPr>
        <w:t>。</w:t>
      </w:r>
    </w:p>
    <w:p w14:paraId="1682A137">
      <w:pPr>
        <w:pStyle w:val="2"/>
        <w:ind w:firstLine="640" w:firstLineChars="200"/>
        <w:rPr>
          <w:rFonts w:hint="default" w:ascii="Times New Roman" w:hAnsi="Times New Roman" w:eastAsia="仿宋_GB2312" w:cs="Times New Roman"/>
          <w:spacing w:val="0"/>
          <w:kern w:val="0"/>
          <w:sz w:val="32"/>
          <w:szCs w:val="32"/>
          <w:highlight w:val="none"/>
          <w:lang w:val="en-US" w:eastAsia="zh-CN" w:bidi="ar"/>
        </w:rPr>
      </w:pPr>
      <w:r>
        <w:rPr>
          <w:rFonts w:hint="eastAsia" w:ascii="Times New Roman" w:hAnsi="Times New Roman" w:eastAsia="仿宋_GB2312" w:cs="Times New Roman"/>
          <w:spacing w:val="0"/>
          <w:kern w:val="0"/>
          <w:sz w:val="32"/>
          <w:szCs w:val="32"/>
          <w:highlight w:val="none"/>
          <w:lang w:val="en-US" w:eastAsia="zh-CN" w:bidi="ar"/>
        </w:rPr>
        <w:t>（二）</w:t>
      </w:r>
      <w:r>
        <w:rPr>
          <w:rFonts w:hint="default" w:ascii="Times New Roman" w:hAnsi="Times New Roman" w:eastAsia="仿宋_GB2312" w:cs="Times New Roman"/>
          <w:spacing w:val="0"/>
          <w:kern w:val="0"/>
          <w:sz w:val="32"/>
          <w:szCs w:val="32"/>
          <w:highlight w:val="none"/>
          <w:lang w:val="en-US" w:eastAsia="zh-CN" w:bidi="ar"/>
        </w:rPr>
        <w:t>技术服务单位水平不足。部分环评编制单位及环境咨询服务单位的技术能力不足，环评文件编制、排污许可申报材料填报质量</w:t>
      </w:r>
      <w:r>
        <w:rPr>
          <w:rFonts w:hint="eastAsia" w:ascii="Times New Roman" w:hAnsi="Times New Roman" w:eastAsia="仿宋_GB2312" w:cs="Times New Roman"/>
          <w:spacing w:val="0"/>
          <w:kern w:val="0"/>
          <w:sz w:val="32"/>
          <w:szCs w:val="32"/>
          <w:highlight w:val="none"/>
          <w:lang w:val="en-US" w:eastAsia="zh-CN" w:bidi="ar"/>
        </w:rPr>
        <w:t>参</w:t>
      </w:r>
      <w:r>
        <w:rPr>
          <w:rFonts w:hint="default" w:ascii="Times New Roman" w:hAnsi="Times New Roman" w:eastAsia="仿宋_GB2312" w:cs="Times New Roman"/>
          <w:spacing w:val="0"/>
          <w:kern w:val="0"/>
          <w:sz w:val="32"/>
          <w:szCs w:val="32"/>
          <w:highlight w:val="none"/>
          <w:lang w:val="en-US" w:eastAsia="zh-CN" w:bidi="ar"/>
        </w:rPr>
        <w:t>差，影响行政许可的实施效率。</w:t>
      </w:r>
    </w:p>
    <w:p w14:paraId="4BBD256E">
      <w:pPr>
        <w:keepNext w:val="0"/>
        <w:keepLines w:val="0"/>
        <w:pageBreakBefore w:val="0"/>
        <w:widowControl w:val="0"/>
        <w:numPr>
          <w:ilvl w:val="0"/>
          <w:numId w:val="2"/>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黑体" w:cs="Times New Roman"/>
          <w:snapToGrid w:val="0"/>
          <w:color w:val="000000"/>
          <w:spacing w:val="6"/>
          <w:kern w:val="32"/>
          <w:sz w:val="32"/>
          <w:szCs w:val="22"/>
          <w:highlight w:val="none"/>
          <w:lang w:val="en-US" w:eastAsia="zh-CN" w:bidi="ar-SA"/>
        </w:rPr>
      </w:pPr>
      <w:r>
        <w:rPr>
          <w:rFonts w:hint="default" w:ascii="Times New Roman" w:hAnsi="Times New Roman" w:eastAsia="黑体" w:cs="Times New Roman"/>
          <w:snapToGrid w:val="0"/>
          <w:color w:val="000000"/>
          <w:spacing w:val="6"/>
          <w:kern w:val="32"/>
          <w:sz w:val="32"/>
          <w:szCs w:val="22"/>
          <w:highlight w:val="none"/>
          <w:lang w:val="en-US" w:eastAsia="zh-CN" w:bidi="ar-SA"/>
        </w:rPr>
        <w:t>下一步工作措施及有关建议</w:t>
      </w:r>
    </w:p>
    <w:p w14:paraId="49F22F42">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spacing w:val="0"/>
          <w:kern w:val="2"/>
          <w:sz w:val="32"/>
          <w:szCs w:val="32"/>
          <w:highlight w:val="none"/>
        </w:rPr>
      </w:pPr>
      <w:r>
        <w:rPr>
          <w:rFonts w:hint="eastAsia" w:ascii="Times New Roman" w:hAnsi="Times New Roman" w:eastAsia="仿宋_GB2312" w:cs="Times New Roman"/>
          <w:spacing w:val="0"/>
          <w:kern w:val="2"/>
          <w:sz w:val="32"/>
          <w:szCs w:val="32"/>
          <w:highlight w:val="none"/>
          <w:lang w:val="en-US" w:eastAsia="zh-CN" w:bidi="ar"/>
        </w:rPr>
        <w:t>（一）</w:t>
      </w:r>
      <w:r>
        <w:rPr>
          <w:rFonts w:hint="default" w:ascii="Times New Roman" w:hAnsi="Times New Roman" w:eastAsia="仿宋_GB2312" w:cs="Times New Roman"/>
          <w:spacing w:val="0"/>
          <w:kern w:val="2"/>
          <w:sz w:val="32"/>
          <w:szCs w:val="32"/>
          <w:highlight w:val="none"/>
          <w:lang w:val="en-US" w:eastAsia="zh-CN" w:bidi="ar"/>
        </w:rPr>
        <w:t>进一步深化审批制度改革。结合国家、省、市的有关要求，进一步的优化行政许可事项，规范办理程序，提升办事服务水平</w:t>
      </w:r>
      <w:r>
        <w:rPr>
          <w:rFonts w:hint="eastAsia" w:ascii="Times New Roman" w:hAnsi="Times New Roman" w:eastAsia="仿宋_GB2312" w:cs="Times New Roman"/>
          <w:spacing w:val="0"/>
          <w:kern w:val="2"/>
          <w:sz w:val="32"/>
          <w:szCs w:val="32"/>
          <w:highlight w:val="none"/>
          <w:lang w:val="en-US" w:eastAsia="zh-CN" w:bidi="ar"/>
        </w:rPr>
        <w:t>。同时，</w:t>
      </w:r>
      <w:r>
        <w:rPr>
          <w:rFonts w:hint="default" w:ascii="Times New Roman" w:hAnsi="Times New Roman" w:eastAsia="仿宋_GB2312" w:cs="Times New Roman"/>
          <w:bCs w:val="0"/>
          <w:color w:val="auto"/>
          <w:spacing w:val="0"/>
          <w:kern w:val="0"/>
          <w:sz w:val="32"/>
          <w:szCs w:val="32"/>
          <w:highlight w:val="none"/>
          <w:lang w:val="en-US" w:eastAsia="zh-CN"/>
        </w:rPr>
        <w:t>落实国家和省有关环评改革思路，调整委托镇街环境影响报告表</w:t>
      </w:r>
      <w:r>
        <w:rPr>
          <w:rFonts w:hint="eastAsia" w:ascii="Times New Roman" w:hAnsi="Times New Roman" w:eastAsia="仿宋_GB2312" w:cs="Times New Roman"/>
          <w:bCs w:val="0"/>
          <w:color w:val="auto"/>
          <w:spacing w:val="0"/>
          <w:kern w:val="0"/>
          <w:sz w:val="32"/>
          <w:szCs w:val="32"/>
          <w:highlight w:val="none"/>
          <w:lang w:val="en-US" w:eastAsia="zh-CN"/>
        </w:rPr>
        <w:t>（书）</w:t>
      </w:r>
      <w:r>
        <w:rPr>
          <w:rFonts w:hint="default" w:ascii="Times New Roman" w:hAnsi="Times New Roman" w:eastAsia="仿宋_GB2312" w:cs="Times New Roman"/>
          <w:bCs w:val="0"/>
          <w:color w:val="auto"/>
          <w:spacing w:val="0"/>
          <w:kern w:val="0"/>
          <w:sz w:val="32"/>
          <w:szCs w:val="32"/>
          <w:highlight w:val="none"/>
          <w:lang w:val="en-US" w:eastAsia="zh-CN"/>
        </w:rPr>
        <w:t>审批权限，确保委托事权收放得当，与属地审批能力相适应，促进市镇两级环评审批工作平稳有序开展。</w:t>
      </w:r>
    </w:p>
    <w:p w14:paraId="556A211A">
      <w:pPr>
        <w:pStyle w:val="3"/>
        <w:keepNext w:val="0"/>
        <w:keepLines w:val="0"/>
        <w:widowControl/>
        <w:suppressLineNumbers w:val="0"/>
        <w:autoSpaceDE w:val="0"/>
        <w:autoSpaceDN/>
        <w:spacing w:before="0" w:beforeAutospacing="0" w:after="0" w:afterAutospacing="1" w:line="560" w:lineRule="exact"/>
        <w:ind w:left="0" w:leftChars="0" w:right="0" w:firstLine="640" w:firstLineChars="200"/>
        <w:rPr>
          <w:rFonts w:hint="default" w:ascii="Times New Roman" w:hAnsi="Times New Roman" w:cs="Times New Roman"/>
          <w:highlight w:val="none"/>
          <w:lang w:val="en-US" w:eastAsia="zh-CN"/>
        </w:rPr>
      </w:pPr>
      <w:r>
        <w:rPr>
          <w:rFonts w:hint="eastAsia" w:ascii="Times New Roman" w:hAnsi="Times New Roman" w:cs="Times New Roman"/>
          <w:spacing w:val="0"/>
          <w:kern w:val="2"/>
          <w:sz w:val="32"/>
          <w:szCs w:val="32"/>
          <w:highlight w:val="none"/>
          <w:lang w:eastAsia="zh-CN"/>
        </w:rPr>
        <w:t>（</w:t>
      </w:r>
      <w:r>
        <w:rPr>
          <w:rFonts w:hint="eastAsia" w:ascii="Times New Roman" w:hAnsi="Times New Roman" w:cs="Times New Roman"/>
          <w:spacing w:val="0"/>
          <w:kern w:val="2"/>
          <w:sz w:val="32"/>
          <w:szCs w:val="32"/>
          <w:highlight w:val="none"/>
          <w:lang w:val="en-US" w:eastAsia="zh-CN"/>
        </w:rPr>
        <w:t>二</w:t>
      </w:r>
      <w:r>
        <w:rPr>
          <w:rFonts w:hint="eastAsia" w:ascii="Times New Roman" w:hAnsi="Times New Roman" w:cs="Times New Roman"/>
          <w:spacing w:val="0"/>
          <w:kern w:val="2"/>
          <w:sz w:val="32"/>
          <w:szCs w:val="32"/>
          <w:highlight w:val="none"/>
          <w:lang w:eastAsia="zh-CN"/>
        </w:rPr>
        <w:t>）</w:t>
      </w:r>
      <w:r>
        <w:rPr>
          <w:rFonts w:hint="default" w:ascii="Times New Roman" w:hAnsi="Times New Roman" w:eastAsia="仿宋_GB2312" w:cs="Times New Roman"/>
          <w:spacing w:val="0"/>
          <w:kern w:val="2"/>
          <w:sz w:val="32"/>
          <w:szCs w:val="32"/>
          <w:highlight w:val="none"/>
        </w:rPr>
        <w:t>加强</w:t>
      </w:r>
      <w:r>
        <w:rPr>
          <w:rFonts w:hint="default" w:ascii="Times New Roman" w:hAnsi="Times New Roman" w:cs="Times New Roman"/>
          <w:spacing w:val="0"/>
          <w:kern w:val="2"/>
          <w:sz w:val="32"/>
          <w:szCs w:val="32"/>
          <w:highlight w:val="none"/>
          <w:lang w:val="en-US" w:eastAsia="zh-CN"/>
        </w:rPr>
        <w:t>监管和指导</w:t>
      </w:r>
      <w:r>
        <w:rPr>
          <w:rFonts w:hint="default" w:ascii="Times New Roman" w:hAnsi="Times New Roman" w:eastAsia="仿宋_GB2312" w:cs="Times New Roman"/>
          <w:spacing w:val="0"/>
          <w:kern w:val="2"/>
          <w:sz w:val="32"/>
          <w:szCs w:val="32"/>
          <w:highlight w:val="none"/>
        </w:rPr>
        <w:t>。一是继续加强对企业、第三方环保公司环境管理工作</w:t>
      </w:r>
      <w:r>
        <w:rPr>
          <w:rFonts w:hint="default" w:ascii="Times New Roman" w:hAnsi="Times New Roman" w:eastAsia="仿宋_GB2312" w:cs="Times New Roman"/>
          <w:spacing w:val="0"/>
          <w:kern w:val="2"/>
          <w:sz w:val="32"/>
          <w:szCs w:val="32"/>
          <w:highlight w:val="none"/>
          <w:lang w:val="en-US" w:eastAsia="zh-CN"/>
        </w:rPr>
        <w:t>监管和</w:t>
      </w:r>
      <w:r>
        <w:rPr>
          <w:rFonts w:hint="default" w:ascii="Times New Roman" w:hAnsi="Times New Roman" w:eastAsia="仿宋_GB2312" w:cs="Times New Roman"/>
          <w:spacing w:val="0"/>
          <w:kern w:val="2"/>
          <w:sz w:val="32"/>
          <w:szCs w:val="32"/>
          <w:highlight w:val="none"/>
        </w:rPr>
        <w:t>指导</w:t>
      </w:r>
      <w:r>
        <w:rPr>
          <w:rFonts w:hint="default" w:ascii="Times New Roman" w:hAnsi="Times New Roman" w:eastAsia="仿宋_GB2312" w:cs="Times New Roman"/>
          <w:spacing w:val="0"/>
          <w:kern w:val="2"/>
          <w:sz w:val="32"/>
          <w:szCs w:val="32"/>
          <w:highlight w:val="none"/>
          <w:lang w:eastAsia="zh-CN"/>
        </w:rPr>
        <w:t>；</w:t>
      </w:r>
      <w:r>
        <w:rPr>
          <w:rFonts w:hint="default" w:ascii="Times New Roman" w:hAnsi="Times New Roman" w:eastAsia="仿宋_GB2312" w:cs="Times New Roman"/>
          <w:spacing w:val="0"/>
          <w:kern w:val="2"/>
          <w:sz w:val="32"/>
          <w:szCs w:val="32"/>
          <w:highlight w:val="none"/>
          <w:lang w:val="en-US" w:eastAsia="zh-CN"/>
        </w:rPr>
        <w:t>二是</w:t>
      </w:r>
      <w:r>
        <w:rPr>
          <w:rFonts w:hint="default" w:ascii="Times New Roman" w:hAnsi="Times New Roman" w:eastAsia="仿宋_GB2312" w:cs="Times New Roman"/>
          <w:spacing w:val="0"/>
          <w:kern w:val="2"/>
          <w:sz w:val="32"/>
          <w:szCs w:val="32"/>
          <w:highlight w:val="none"/>
        </w:rPr>
        <w:t>加强对镇街生态环境部门审批业务培训</w:t>
      </w:r>
      <w:r>
        <w:rPr>
          <w:rFonts w:hint="default" w:ascii="Times New Roman" w:hAnsi="Times New Roman" w:eastAsia="仿宋_GB2312" w:cs="Times New Roman"/>
          <w:spacing w:val="0"/>
          <w:kern w:val="2"/>
          <w:sz w:val="32"/>
          <w:szCs w:val="32"/>
          <w:highlight w:val="none"/>
          <w:lang w:eastAsia="zh-CN"/>
        </w:rPr>
        <w:t>，</w:t>
      </w:r>
      <w:r>
        <w:rPr>
          <w:rFonts w:hint="default" w:ascii="Times New Roman" w:hAnsi="Times New Roman" w:eastAsia="仿宋_GB2312" w:cs="Times New Roman"/>
          <w:spacing w:val="0"/>
          <w:kern w:val="2"/>
          <w:sz w:val="32"/>
          <w:szCs w:val="32"/>
          <w:highlight w:val="none"/>
          <w:lang w:val="en-US" w:eastAsia="zh-CN"/>
        </w:rPr>
        <w:t>加大对委托镇街实施事权监督管理，确保事权实施得当。</w:t>
      </w:r>
    </w:p>
    <w:p w14:paraId="52BD07F1">
      <w:pPr>
        <w:keepNext w:val="0"/>
        <w:keepLines w:val="0"/>
        <w:pageBreakBefore w:val="0"/>
        <w:widowControl w:val="0"/>
        <w:numPr>
          <w:ilvl w:val="0"/>
          <w:numId w:val="0"/>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p>
    <w:p w14:paraId="5F55D003">
      <w:pPr>
        <w:keepNext w:val="0"/>
        <w:keepLines w:val="0"/>
        <w:pageBreakBefore w:val="0"/>
        <w:widowControl w:val="0"/>
        <w:numPr>
          <w:ilvl w:val="0"/>
          <w:numId w:val="0"/>
        </w:numPr>
        <w:kinsoku/>
        <w:topLinePunct w:val="0"/>
        <w:bidi w:val="0"/>
        <w:spacing w:after="0" w:afterLines="0" w:afterAutospacing="0" w:line="574" w:lineRule="exact"/>
        <w:ind w:left="0" w:leftChars="0" w:right="0" w:rightChars="0" w:firstLine="688"/>
        <w:jc w:val="both"/>
        <w:textAlignment w:val="auto"/>
        <w:rPr>
          <w:rFonts w:hint="default" w:ascii="Times New Roman" w:hAnsi="Times New Roman" w:eastAsia="仿宋_GB2312" w:cs="Times New Roman"/>
          <w:snapToGrid w:val="0"/>
          <w:color w:val="000000"/>
          <w:spacing w:val="6"/>
          <w:kern w:val="32"/>
          <w:sz w:val="32"/>
          <w:szCs w:val="22"/>
          <w:highlight w:val="none"/>
          <w:lang w:val="en-US" w:eastAsia="zh-CN" w:bidi="ar-SA"/>
        </w:rPr>
      </w:pPr>
    </w:p>
    <w:p w14:paraId="12066025">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jc w:val="right"/>
        <w:rPr>
          <w:rFonts w:hint="default" w:ascii="Times New Roman" w:hAnsi="Times New Roman" w:eastAsia="仿宋_GB2312" w:cs="Times New Roman"/>
          <w:spacing w:val="6"/>
          <w:kern w:val="2"/>
          <w:sz w:val="32"/>
          <w:szCs w:val="32"/>
          <w:highlight w:val="none"/>
        </w:rPr>
      </w:pPr>
      <w:r>
        <w:rPr>
          <w:rFonts w:hint="default" w:ascii="Times New Roman" w:hAnsi="Times New Roman" w:eastAsia="仿宋_GB2312" w:cs="Times New Roman"/>
          <w:spacing w:val="6"/>
          <w:kern w:val="2"/>
          <w:sz w:val="32"/>
          <w:szCs w:val="32"/>
          <w:highlight w:val="none"/>
          <w:lang w:val="en-US" w:eastAsia="zh-CN" w:bidi="ar"/>
        </w:rPr>
        <w:t>中山市生态环境局</w:t>
      </w:r>
    </w:p>
    <w:p w14:paraId="7FFF2DEC">
      <w:pPr>
        <w:keepNext w:val="0"/>
        <w:keepLines w:val="0"/>
        <w:widowControl w:val="0"/>
        <w:suppressLineNumbers w:val="0"/>
        <w:autoSpaceDE w:val="0"/>
        <w:autoSpaceDN/>
        <w:adjustRightInd w:val="0"/>
        <w:snapToGrid w:val="0"/>
        <w:spacing w:before="0" w:beforeAutospacing="0" w:after="0" w:afterAutospacing="0" w:line="560" w:lineRule="exact"/>
        <w:ind w:left="0" w:leftChars="0" w:right="0" w:firstLine="5644" w:firstLineChars="170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pacing w:val="6"/>
          <w:kern w:val="2"/>
          <w:sz w:val="32"/>
          <w:szCs w:val="32"/>
          <w:highlight w:val="none"/>
          <w:lang w:val="en-US" w:eastAsia="zh-CN" w:bidi="ar"/>
        </w:rPr>
        <w:t>202</w:t>
      </w:r>
      <w:r>
        <w:rPr>
          <w:rFonts w:hint="eastAsia" w:ascii="Times New Roman" w:hAnsi="Times New Roman" w:eastAsia="仿宋_GB2312" w:cs="Times New Roman"/>
          <w:spacing w:val="6"/>
          <w:kern w:val="2"/>
          <w:sz w:val="32"/>
          <w:szCs w:val="32"/>
          <w:highlight w:val="none"/>
          <w:lang w:val="en-US" w:eastAsia="zh-CN" w:bidi="ar"/>
        </w:rPr>
        <w:t>5</w:t>
      </w:r>
      <w:r>
        <w:rPr>
          <w:rFonts w:hint="default" w:ascii="Times New Roman" w:hAnsi="Times New Roman" w:eastAsia="仿宋_GB2312" w:cs="Times New Roman"/>
          <w:spacing w:val="6"/>
          <w:kern w:val="2"/>
          <w:sz w:val="32"/>
          <w:szCs w:val="32"/>
          <w:highlight w:val="none"/>
          <w:lang w:val="en-US" w:eastAsia="zh-CN" w:bidi="ar"/>
        </w:rPr>
        <w:t>年</w:t>
      </w:r>
      <w:r>
        <w:rPr>
          <w:rFonts w:hint="eastAsia" w:ascii="Times New Roman" w:hAnsi="Times New Roman" w:eastAsia="仿宋_GB2312" w:cs="Times New Roman"/>
          <w:spacing w:val="6"/>
          <w:kern w:val="2"/>
          <w:sz w:val="32"/>
          <w:szCs w:val="32"/>
          <w:highlight w:val="none"/>
          <w:lang w:val="en-US" w:eastAsia="zh-CN" w:bidi="ar"/>
        </w:rPr>
        <w:t>3</w:t>
      </w:r>
      <w:r>
        <w:rPr>
          <w:rFonts w:hint="default" w:ascii="Times New Roman" w:hAnsi="Times New Roman" w:eastAsia="仿宋_GB2312" w:cs="Times New Roman"/>
          <w:spacing w:val="6"/>
          <w:kern w:val="2"/>
          <w:sz w:val="32"/>
          <w:szCs w:val="32"/>
          <w:highlight w:val="none"/>
          <w:lang w:val="en-US" w:eastAsia="zh-CN" w:bidi="ar"/>
        </w:rPr>
        <w:t>月</w:t>
      </w:r>
      <w:r>
        <w:rPr>
          <w:rFonts w:hint="eastAsia" w:ascii="Times New Roman" w:hAnsi="Times New Roman" w:eastAsia="仿宋_GB2312" w:cs="Times New Roman"/>
          <w:spacing w:val="6"/>
          <w:kern w:val="2"/>
          <w:sz w:val="32"/>
          <w:szCs w:val="32"/>
          <w:highlight w:val="none"/>
          <w:lang w:val="en-US" w:eastAsia="zh-CN" w:bidi="ar"/>
        </w:rPr>
        <w:t>25</w:t>
      </w:r>
      <w:r>
        <w:rPr>
          <w:rFonts w:hint="default" w:ascii="Times New Roman" w:hAnsi="Times New Roman" w:eastAsia="仿宋_GB2312" w:cs="Times New Roman"/>
          <w:spacing w:val="6"/>
          <w:kern w:val="2"/>
          <w:sz w:val="32"/>
          <w:szCs w:val="32"/>
          <w:highlight w:val="none"/>
          <w:lang w:val="en-US" w:eastAsia="zh-CN" w:bidi="ar"/>
        </w:rPr>
        <w:t>日</w:t>
      </w:r>
    </w:p>
    <w:p w14:paraId="4A19EBFD">
      <w:pPr>
        <w:rPr>
          <w:rFonts w:hint="default"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161CF"/>
    <w:multiLevelType w:val="singleLevel"/>
    <w:tmpl w:val="5E8161CF"/>
    <w:lvl w:ilvl="0" w:tentative="0">
      <w:start w:val="3"/>
      <w:numFmt w:val="chineseCounting"/>
      <w:suff w:val="nothing"/>
      <w:lvlText w:val="%1、"/>
      <w:lvlJc w:val="left"/>
    </w:lvl>
  </w:abstractNum>
  <w:abstractNum w:abstractNumId="1">
    <w:nsid w:val="6A50E8C9"/>
    <w:multiLevelType w:val="singleLevel"/>
    <w:tmpl w:val="6A50E8C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F128A"/>
    <w:rsid w:val="08DC690C"/>
    <w:rsid w:val="111D09E8"/>
    <w:rsid w:val="161E5D34"/>
    <w:rsid w:val="1FF74126"/>
    <w:rsid w:val="38B55809"/>
    <w:rsid w:val="3FFF46D9"/>
    <w:rsid w:val="6A4875B2"/>
    <w:rsid w:val="702F128A"/>
    <w:rsid w:val="7C0A74C2"/>
    <w:rsid w:val="7FFC8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toa heading"/>
    <w:next w:val="1"/>
    <w:unhideWhenUsed/>
    <w:qFormat/>
    <w:uiPriority w:val="99"/>
    <w:pPr>
      <w:keepNext w:val="0"/>
      <w:keepLines w:val="0"/>
      <w:widowControl w:val="0"/>
      <w:suppressLineNumbers w:val="0"/>
      <w:spacing w:before="120" w:beforeAutospacing="0"/>
      <w:ind w:left="420" w:leftChars="200"/>
      <w:jc w:val="both"/>
    </w:pPr>
    <w:rPr>
      <w:rFonts w:hint="default" w:ascii="Arial" w:hAnsi="Arial" w:eastAsia="仿宋_GB2312" w:cs="Times New Roman"/>
      <w:kern w:val="2"/>
      <w:sz w:val="24"/>
      <w:szCs w:val="24"/>
      <w:lang w:val="en-US" w:eastAsia="zh-CN" w:bidi="ar"/>
    </w:rPr>
  </w:style>
  <w:style w:type="paragraph" w:styleId="4">
    <w:name w:val="Body Text Indent 2"/>
    <w:basedOn w:val="1"/>
    <w:qFormat/>
    <w:uiPriority w:val="0"/>
    <w:pPr>
      <w:keepNext w:val="0"/>
      <w:keepLines w:val="0"/>
      <w:widowControl w:val="0"/>
      <w:suppressLineNumbers w:val="0"/>
      <w:spacing w:after="120" w:afterAutospacing="0" w:line="480" w:lineRule="auto"/>
      <w:ind w:left="420" w:leftChars="200"/>
      <w:jc w:val="both"/>
    </w:pPr>
    <w:rPr>
      <w:rFonts w:hint="default" w:ascii="Times New Roman" w:hAnsi="Times New Roman" w:eastAsia="仿宋_GB2312"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5</Pages>
  <Words>0</Words>
  <Characters>0</Characters>
  <Lines>1</Lines>
  <Paragraphs>1</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2025-03-24T10:08:00Z</dcterms:created>
  <dc:creator>黄晓红（雇员）</dc:creator>
  <cp:lastModifiedBy>黄晓红（雇员）</cp:lastModifiedBy>
  <dcterms:modified xsi:type="dcterms:W3CDTF">2025-03-25T03:09:20Z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20456C3B37F74B4CB0F1A62A0E8CF223_11</vt:lpwstr>
  </property>
</Properties>
</file>