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13F70">
      <w:pPr>
        <w:pStyle w:val="4"/>
        <w:keepNext w:val="0"/>
        <w:keepLines w:val="0"/>
        <w:pageBreakBefore w:val="0"/>
        <w:kinsoku/>
        <w:wordWrap/>
        <w:overflowPunct/>
        <w:topLinePunct w:val="0"/>
        <w:autoSpaceDE/>
        <w:autoSpaceDN/>
        <w:bidi w:val="0"/>
        <w:adjustRightInd/>
        <w:snapToGrid/>
        <w:spacing w:after="0" w:line="560" w:lineRule="exact"/>
        <w:ind w:left="0" w:left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592D2474">
      <w:pPr>
        <w:pStyle w:val="4"/>
        <w:keepNext w:val="0"/>
        <w:keepLines w:val="0"/>
        <w:pageBreakBefore w:val="0"/>
        <w:kinsoku/>
        <w:wordWrap/>
        <w:overflowPunct/>
        <w:topLinePunct w:val="0"/>
        <w:autoSpaceDE/>
        <w:autoSpaceDN/>
        <w:bidi w:val="0"/>
        <w:adjustRightInd/>
        <w:snapToGrid/>
        <w:spacing w:after="0" w:line="560" w:lineRule="exact"/>
        <w:ind w:left="0" w:leftChars="0"/>
        <w:jc w:val="center"/>
        <w:textAlignment w:val="auto"/>
        <w:rPr>
          <w:rFonts w:hint="default" w:ascii="创艺简标宋" w:hAnsi="创艺简标宋" w:eastAsia="创艺简标宋" w:cs="创艺简标宋"/>
          <w:color w:val="auto"/>
          <w:sz w:val="44"/>
          <w:szCs w:val="44"/>
          <w:highlight w:val="none"/>
          <w:lang w:val="en-US" w:eastAsia="zh-CN"/>
        </w:rPr>
      </w:pPr>
    </w:p>
    <w:p w14:paraId="1DC80A7A">
      <w:pPr>
        <w:pStyle w:val="4"/>
        <w:keepNext w:val="0"/>
        <w:keepLines w:val="0"/>
        <w:pageBreakBefore w:val="0"/>
        <w:kinsoku/>
        <w:wordWrap/>
        <w:overflowPunct/>
        <w:topLinePunct w:val="0"/>
        <w:autoSpaceDE/>
        <w:autoSpaceDN/>
        <w:bidi w:val="0"/>
        <w:adjustRightInd/>
        <w:snapToGrid/>
        <w:spacing w:after="0" w:line="560" w:lineRule="exact"/>
        <w:ind w:left="0" w:leftChars="0"/>
        <w:jc w:val="center"/>
        <w:textAlignment w:val="auto"/>
        <w:rPr>
          <w:rFonts w:hint="default" w:ascii="创艺简标宋" w:hAnsi="创艺简标宋" w:eastAsia="创艺简标宋" w:cs="创艺简标宋"/>
          <w:color w:val="auto"/>
          <w:sz w:val="44"/>
          <w:szCs w:val="44"/>
          <w:highlight w:val="none"/>
          <w:lang w:val="en-US" w:eastAsia="zh-CN"/>
        </w:rPr>
      </w:pPr>
      <w:r>
        <w:rPr>
          <w:rFonts w:hint="default" w:ascii="创艺简标宋" w:hAnsi="创艺简标宋" w:eastAsia="创艺简标宋" w:cs="创艺简标宋"/>
          <w:color w:val="auto"/>
          <w:sz w:val="44"/>
          <w:szCs w:val="44"/>
          <w:highlight w:val="none"/>
          <w:lang w:val="en-US" w:eastAsia="zh-CN"/>
        </w:rPr>
        <w:t>污染物排放口</w:t>
      </w:r>
      <w:r>
        <w:rPr>
          <w:rFonts w:hint="eastAsia" w:ascii="创艺简标宋" w:hAnsi="创艺简标宋" w:eastAsia="创艺简标宋" w:cs="创艺简标宋"/>
          <w:color w:val="auto"/>
          <w:sz w:val="44"/>
          <w:szCs w:val="44"/>
          <w:highlight w:val="none"/>
          <w:lang w:val="en-US" w:eastAsia="zh-CN"/>
        </w:rPr>
        <w:t>（</w:t>
      </w:r>
      <w:r>
        <w:rPr>
          <w:rFonts w:hint="default" w:ascii="创艺简标宋" w:hAnsi="创艺简标宋" w:eastAsia="创艺简标宋" w:cs="创艺简标宋"/>
          <w:color w:val="auto"/>
          <w:sz w:val="44"/>
          <w:szCs w:val="44"/>
          <w:highlight w:val="none"/>
          <w:lang w:val="en-US" w:eastAsia="zh-CN"/>
        </w:rPr>
        <w:t>源</w:t>
      </w:r>
      <w:r>
        <w:rPr>
          <w:rFonts w:hint="eastAsia" w:ascii="创艺简标宋" w:hAnsi="创艺简标宋" w:eastAsia="创艺简标宋" w:cs="创艺简标宋"/>
          <w:color w:val="auto"/>
          <w:sz w:val="44"/>
          <w:szCs w:val="44"/>
          <w:highlight w:val="none"/>
          <w:lang w:val="en-US" w:eastAsia="zh-CN"/>
        </w:rPr>
        <w:t>）</w:t>
      </w:r>
      <w:r>
        <w:rPr>
          <w:rFonts w:hint="default" w:ascii="创艺简标宋" w:hAnsi="创艺简标宋" w:eastAsia="创艺简标宋" w:cs="创艺简标宋"/>
          <w:color w:val="auto"/>
          <w:sz w:val="44"/>
          <w:szCs w:val="44"/>
          <w:highlight w:val="none"/>
          <w:lang w:val="en-US" w:eastAsia="zh-CN"/>
        </w:rPr>
        <w:t>及固体废物贮存（处置）场所规范设置</w:t>
      </w:r>
      <w:r>
        <w:rPr>
          <w:rFonts w:hint="eastAsia" w:ascii="创艺简标宋" w:hAnsi="创艺简标宋" w:eastAsia="创艺简标宋" w:cs="创艺简标宋"/>
          <w:color w:val="auto"/>
          <w:sz w:val="44"/>
          <w:szCs w:val="44"/>
          <w:highlight w:val="none"/>
          <w:lang w:val="en-US" w:eastAsia="zh-CN"/>
        </w:rPr>
        <w:t>指南</w:t>
      </w:r>
    </w:p>
    <w:p w14:paraId="61127311">
      <w:pPr>
        <w:rPr>
          <w:rStyle w:val="11"/>
          <w:rFonts w:hint="default" w:ascii="Times New Roman" w:hAnsi="Times New Roman" w:eastAsia="仿宋_GB2312" w:cs="Times New Roman"/>
          <w:b/>
          <w:kern w:val="2"/>
          <w:sz w:val="36"/>
          <w:szCs w:val="22"/>
          <w:lang w:val="en-US" w:eastAsia="zh-CN" w:bidi="ar-SA"/>
        </w:rPr>
      </w:pPr>
    </w:p>
    <w:p w14:paraId="3B0EF0E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1"/>
          <w:rFonts w:hint="eastAsia" w:ascii="黑体" w:hAnsi="黑体" w:eastAsia="黑体" w:cs="黑体"/>
          <w:b w:val="0"/>
          <w:bCs/>
          <w:kern w:val="2"/>
          <w:sz w:val="32"/>
          <w:szCs w:val="32"/>
          <w:lang w:val="en-US" w:eastAsia="zh-CN" w:bidi="ar-SA"/>
        </w:rPr>
      </w:pPr>
      <w:r>
        <w:rPr>
          <w:rStyle w:val="11"/>
          <w:rFonts w:hint="eastAsia" w:ascii="黑体" w:hAnsi="黑体" w:eastAsia="黑体" w:cs="黑体"/>
          <w:b w:val="0"/>
          <w:bCs/>
          <w:kern w:val="2"/>
          <w:sz w:val="32"/>
          <w:szCs w:val="32"/>
          <w:lang w:val="en-US" w:eastAsia="zh-CN" w:bidi="ar-SA"/>
        </w:rPr>
        <w:t>一、总体要求</w:t>
      </w:r>
    </w:p>
    <w:p w14:paraId="2307C02A">
      <w:pPr>
        <w:spacing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b w:val="0"/>
          <w:kern w:val="2"/>
          <w:sz w:val="32"/>
          <w:szCs w:val="32"/>
          <w:lang w:val="en-US" w:eastAsia="zh-CN" w:bidi="ar-SA"/>
        </w:rPr>
        <w:t>（一）</w:t>
      </w:r>
      <w:r>
        <w:rPr>
          <w:rFonts w:hint="eastAsia" w:ascii="仿宋_GB2312" w:hAnsi="仿宋_GB2312" w:eastAsia="仿宋_GB2312" w:cs="仿宋_GB2312"/>
          <w:sz w:val="32"/>
          <w:szCs w:val="32"/>
        </w:rPr>
        <w:t>污染物排放口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及固体废物贮存</w:t>
      </w:r>
      <w:r>
        <w:rPr>
          <w:rFonts w:hint="eastAsia" w:ascii="仿宋_GB2312" w:hAnsi="仿宋_GB2312" w:eastAsia="仿宋_GB2312" w:cs="仿宋_GB2312"/>
          <w:sz w:val="32"/>
          <w:szCs w:val="32"/>
          <w:lang w:eastAsia="zh-CN"/>
        </w:rPr>
        <w:t>（处置）场所</w:t>
      </w:r>
      <w:r>
        <w:rPr>
          <w:rFonts w:hint="eastAsia" w:ascii="仿宋_GB2312" w:hAnsi="仿宋_GB2312" w:eastAsia="仿宋_GB2312" w:cs="仿宋_GB2312"/>
          <w:sz w:val="32"/>
          <w:szCs w:val="32"/>
        </w:rPr>
        <w:t>设置</w:t>
      </w:r>
      <w:r>
        <w:rPr>
          <w:rFonts w:hint="eastAsia" w:ascii="仿宋_GB2312" w:hAnsi="仿宋_GB2312" w:eastAsia="仿宋_GB2312" w:cs="仿宋_GB2312"/>
          <w:sz w:val="32"/>
          <w:szCs w:val="32"/>
          <w:lang w:eastAsia="zh-CN"/>
        </w:rPr>
        <w:t>应符合</w:t>
      </w:r>
      <w:r>
        <w:rPr>
          <w:rFonts w:hint="eastAsia" w:ascii="仿宋_GB2312" w:hAnsi="仿宋_GB2312" w:eastAsia="仿宋_GB2312" w:cs="仿宋_GB2312"/>
          <w:sz w:val="32"/>
          <w:szCs w:val="32"/>
        </w:rPr>
        <w:t>《排污口规范化整治技术要求（试行）》、地方相关管理要求以及</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污染物排放标准中有关排放口规范化设置的规定。</w:t>
      </w:r>
    </w:p>
    <w:p w14:paraId="0D835B35">
      <w:pPr>
        <w:spacing w:line="360" w:lineRule="auto"/>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b w:val="0"/>
          <w:kern w:val="2"/>
          <w:sz w:val="32"/>
          <w:szCs w:val="32"/>
          <w:lang w:val="en-US" w:eastAsia="zh-CN" w:bidi="ar-SA"/>
        </w:rPr>
        <w:t>（二）</w:t>
      </w:r>
      <w:r>
        <w:rPr>
          <w:rFonts w:hint="default" w:ascii="Times New Roman" w:hAnsi="Times New Roman" w:eastAsia="仿宋_GB2312" w:cs="Times New Roman"/>
          <w:sz w:val="32"/>
          <w:szCs w:val="32"/>
        </w:rPr>
        <w:t>在各污染物排放口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及固体废物贮存</w:t>
      </w:r>
      <w:r>
        <w:rPr>
          <w:rFonts w:hint="default" w:ascii="Times New Roman" w:hAnsi="Times New Roman" w:eastAsia="仿宋_GB2312" w:cs="Times New Roman"/>
          <w:sz w:val="32"/>
          <w:szCs w:val="32"/>
          <w:lang w:eastAsia="zh-CN"/>
        </w:rPr>
        <w:t>（处置）场所</w:t>
      </w:r>
      <w:r>
        <w:rPr>
          <w:rFonts w:hint="default" w:ascii="Times New Roman" w:hAnsi="Times New Roman" w:eastAsia="仿宋_GB2312" w:cs="Times New Roman"/>
          <w:sz w:val="32"/>
          <w:szCs w:val="32"/>
        </w:rPr>
        <w:t>设置相应的环境保护图形标志牌。标志牌按</w:t>
      </w:r>
      <w:r>
        <w:rPr>
          <w:rStyle w:val="17"/>
          <w:rFonts w:hint="default" w:ascii="Times New Roman" w:hAnsi="Times New Roman" w:eastAsia="仿宋_GB2312" w:cs="Times New Roman"/>
          <w:kern w:val="2"/>
          <w:sz w:val="32"/>
          <w:szCs w:val="32"/>
          <w:lang w:val="en-US" w:eastAsia="zh-CN" w:bidi="ar-SA"/>
        </w:rPr>
        <w:t>《环境保护图形标志 排放口（源）》（GB15562. 1-1995）、《环境保护图形标志 固体废物贮存（处置）场》（GB15562.2-1995）</w:t>
      </w:r>
      <w:r>
        <w:rPr>
          <w:rFonts w:hint="default" w:ascii="Times New Roman" w:hAnsi="Times New Roman" w:eastAsia="仿宋_GB2312" w:cs="Times New Roman"/>
          <w:sz w:val="32"/>
          <w:szCs w:val="32"/>
        </w:rPr>
        <w:t>及修改单和《危险废物识别标志设置技术规范》（HJ 1276-2022）的规格和样式自行制作。</w:t>
      </w:r>
    </w:p>
    <w:p w14:paraId="75ABB48D">
      <w:pPr>
        <w:spacing w:line="360" w:lineRule="auto"/>
        <w:ind w:firstLine="800" w:firstLineChars="25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建设规范化排放口列入环境保护“三同时”制度组成部分和环境保护设施验收内容，</w:t>
      </w:r>
      <w:r>
        <w:rPr>
          <w:rFonts w:hint="default" w:ascii="Times New Roman" w:hAnsi="Times New Roman" w:eastAsia="仿宋_GB2312" w:cs="Times New Roman"/>
          <w:sz w:val="32"/>
          <w:szCs w:val="32"/>
          <w:lang w:val="en-US" w:eastAsia="zh-CN"/>
        </w:rPr>
        <w:t>排污</w:t>
      </w:r>
      <w:r>
        <w:rPr>
          <w:rFonts w:hint="default" w:ascii="Times New Roman" w:hAnsi="Times New Roman" w:eastAsia="仿宋_GB2312" w:cs="Times New Roman"/>
          <w:sz w:val="32"/>
          <w:szCs w:val="32"/>
        </w:rPr>
        <w:t>单位必须在建设污染防治设施的同时建设规范化排</w:t>
      </w:r>
      <w:r>
        <w:rPr>
          <w:rFonts w:hint="default" w:ascii="Times New Roman" w:hAnsi="Times New Roman" w:eastAsia="仿宋_GB2312" w:cs="Times New Roman"/>
          <w:sz w:val="32"/>
          <w:szCs w:val="32"/>
          <w:highlight w:val="none"/>
        </w:rPr>
        <w:t>放口，污水排放口要设置采样池，废气排放口要设置采样口</w:t>
      </w:r>
      <w:r>
        <w:rPr>
          <w:rFonts w:hint="default" w:ascii="Times New Roman" w:hAnsi="Times New Roman" w:eastAsia="仿宋_GB2312" w:cs="Times New Roman"/>
          <w:sz w:val="32"/>
          <w:szCs w:val="32"/>
          <w:highlight w:val="none"/>
          <w:lang w:eastAsia="zh-CN"/>
        </w:rPr>
        <w:t>。排污口应按</w:t>
      </w:r>
      <w:r>
        <w:rPr>
          <w:rFonts w:hint="default" w:ascii="Times New Roman" w:hAnsi="Times New Roman" w:eastAsia="仿宋_GB2312" w:cs="Times New Roman"/>
          <w:sz w:val="32"/>
          <w:szCs w:val="32"/>
          <w:highlight w:val="none"/>
        </w:rPr>
        <w:t>地方生态环境主管部门现有编号</w:t>
      </w:r>
      <w:r>
        <w:rPr>
          <w:rFonts w:hint="default" w:ascii="Times New Roman" w:hAnsi="Times New Roman" w:eastAsia="仿宋_GB2312" w:cs="Times New Roman"/>
          <w:sz w:val="32"/>
          <w:szCs w:val="32"/>
          <w:highlight w:val="none"/>
          <w:lang w:eastAsia="zh-CN"/>
        </w:rPr>
        <w:t>或根据《</w:t>
      </w:r>
      <w:r>
        <w:rPr>
          <w:rFonts w:hint="default" w:ascii="Times New Roman" w:hAnsi="Times New Roman" w:eastAsia="仿宋_GB2312" w:cs="Times New Roman"/>
          <w:sz w:val="32"/>
          <w:szCs w:val="32"/>
          <w:highlight w:val="none"/>
        </w:rPr>
        <w:t>排污单位编码规则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HJ 608</w:t>
      </w:r>
      <w:r>
        <w:rPr>
          <w:rFonts w:hint="default" w:ascii="Times New Roman" w:hAnsi="Times New Roman" w:eastAsia="仿宋_GB2312" w:cs="Times New Roman"/>
          <w:sz w:val="32"/>
          <w:szCs w:val="32"/>
          <w:highlight w:val="none"/>
          <w:lang w:eastAsia="zh-CN"/>
        </w:rPr>
        <w:t>）进行</w:t>
      </w:r>
      <w:r>
        <w:rPr>
          <w:rFonts w:hint="default" w:ascii="Times New Roman" w:hAnsi="Times New Roman" w:eastAsia="仿宋_GB2312" w:cs="Times New Roman"/>
          <w:sz w:val="32"/>
          <w:szCs w:val="32"/>
          <w:highlight w:val="none"/>
        </w:rPr>
        <w:t>编号。</w:t>
      </w:r>
    </w:p>
    <w:p w14:paraId="54723FC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1"/>
          <w:rFonts w:hint="eastAsia" w:ascii="黑体" w:hAnsi="黑体" w:eastAsia="黑体" w:cs="黑体"/>
          <w:b w:val="0"/>
          <w:bCs/>
          <w:kern w:val="2"/>
          <w:sz w:val="32"/>
          <w:szCs w:val="32"/>
          <w:lang w:val="en-US" w:eastAsia="zh-CN" w:bidi="ar-SA"/>
        </w:rPr>
      </w:pPr>
      <w:r>
        <w:rPr>
          <w:rStyle w:val="11"/>
          <w:rFonts w:hint="eastAsia" w:ascii="黑体" w:hAnsi="黑体" w:eastAsia="黑体" w:cs="黑体"/>
          <w:b w:val="0"/>
          <w:bCs/>
          <w:kern w:val="2"/>
          <w:sz w:val="32"/>
          <w:szCs w:val="32"/>
          <w:lang w:val="en-US" w:eastAsia="zh-CN" w:bidi="ar-SA"/>
        </w:rPr>
        <w:t>二、污水排放口的设置规范</w:t>
      </w:r>
    </w:p>
    <w:p w14:paraId="0787984A">
      <w:pPr>
        <w:spacing w:line="360" w:lineRule="auto"/>
        <w:ind w:firstLine="800" w:firstLineChars="250"/>
        <w:rPr>
          <w:rStyle w:val="11"/>
          <w:rFonts w:hint="default" w:ascii="Times New Roman" w:hAnsi="Times New Roman" w:eastAsia="仿宋_GB2312" w:cs="Times New Roman"/>
          <w:kern w:val="2"/>
          <w:sz w:val="32"/>
          <w:szCs w:val="32"/>
          <w:lang w:val="en-US" w:eastAsia="zh-CN" w:bidi="ar-SA"/>
        </w:rPr>
      </w:pPr>
      <w:r>
        <w:rPr>
          <w:rStyle w:val="11"/>
          <w:rFonts w:hint="default"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sz w:val="32"/>
          <w:szCs w:val="32"/>
        </w:rPr>
        <w:t>污水排放口位置应根据实际地形和排放污染物的种类情况确定。凡排放含《广东省水污染物排放限值》（DB44/26-2001）中一类污染物的单位，还应在产生该污染物的车间或车间污水处理设施出水口专门增设规范的排污口</w:t>
      </w:r>
      <w:r>
        <w:rPr>
          <w:rStyle w:val="11"/>
          <w:rFonts w:hint="default" w:ascii="Times New Roman" w:hAnsi="Times New Roman" w:eastAsia="仿宋_GB2312" w:cs="Times New Roman"/>
          <w:kern w:val="2"/>
          <w:sz w:val="32"/>
          <w:szCs w:val="32"/>
          <w:lang w:val="en-US" w:eastAsia="zh-CN" w:bidi="ar-SA"/>
        </w:rPr>
        <w:t>。</w:t>
      </w:r>
    </w:p>
    <w:p w14:paraId="119284A7">
      <w:pPr>
        <w:spacing w:line="360" w:lineRule="auto"/>
        <w:ind w:firstLine="640" w:firstLineChars="200"/>
        <w:rPr>
          <w:rStyle w:val="11"/>
          <w:rFonts w:hint="default" w:ascii="Times New Roman" w:hAnsi="Times New Roman" w:eastAsia="仿宋_GB2312" w:cs="Times New Roman"/>
          <w:b w:val="0"/>
          <w:kern w:val="2"/>
          <w:sz w:val="32"/>
          <w:szCs w:val="32"/>
          <w:lang w:val="en-US" w:eastAsia="zh-CN" w:bidi="ar-SA"/>
        </w:rPr>
      </w:pPr>
      <w:r>
        <w:rPr>
          <w:rStyle w:val="11"/>
          <w:rFonts w:hint="default" w:ascii="Times New Roman" w:hAnsi="Times New Roman" w:eastAsia="仿宋_GB2312" w:cs="Times New Roman"/>
          <w:b w:val="0"/>
          <w:kern w:val="2"/>
          <w:sz w:val="32"/>
          <w:szCs w:val="32"/>
          <w:lang w:val="en-US" w:eastAsia="zh-CN" w:bidi="ar-SA"/>
        </w:rPr>
        <w:t>（二）在污水排放口处，设置测流段及采样池：</w:t>
      </w:r>
    </w:p>
    <w:p w14:paraId="7CC931AE">
      <w:pPr>
        <w:spacing w:line="360" w:lineRule="auto"/>
        <w:ind w:firstLine="640" w:firstLineChars="200"/>
        <w:jc w:val="left"/>
        <w:rPr>
          <w:rStyle w:val="11"/>
          <w:rFonts w:hint="default" w:ascii="Times New Roman" w:hAnsi="Times New Roman" w:eastAsia="仿宋_GB2312" w:cs="Times New Roman"/>
          <w:b w:val="0"/>
          <w:kern w:val="2"/>
          <w:sz w:val="32"/>
          <w:szCs w:val="32"/>
          <w:lang w:val="en-US" w:eastAsia="zh-CN" w:bidi="ar-SA"/>
        </w:rPr>
      </w:pPr>
      <w:r>
        <w:rPr>
          <w:rStyle w:val="11"/>
          <w:rFonts w:hint="default" w:ascii="Times New Roman" w:hAnsi="Times New Roman" w:eastAsia="仿宋_GB2312" w:cs="Times New Roman"/>
          <w:b w:val="0"/>
          <w:kern w:val="2"/>
          <w:sz w:val="32"/>
          <w:szCs w:val="32"/>
          <w:lang w:val="en-US" w:eastAsia="zh-CN" w:bidi="ar-SA"/>
        </w:rPr>
        <w:t>测流段及采样池要求为明渠，测流段渠道为规则的矩形直渠，使其水深不低于0.1米，流速不小于0.05米/秒，测流段长度为其水面宽度的6倍以上，最短不小于1.5米。使用其它方法测流时，可按测流仪器说明进行测量，测流仪器前应设置调节池和平稳过水段，确保水流为稳定流状态，保证测量精度。采样池设置在测流段末端，采样池的水深不少于0.4米，长度和宽度不少于0.4米。</w:t>
      </w:r>
    </w:p>
    <w:p w14:paraId="754394B4">
      <w:pPr>
        <w:spacing w:line="360" w:lineRule="auto"/>
        <w:ind w:firstLine="640" w:firstLineChars="200"/>
        <w:jc w:val="left"/>
        <w:rPr>
          <w:rStyle w:val="11"/>
          <w:rFonts w:hint="eastAsia" w:ascii="仿宋_GB2312" w:hAnsi="仿宋_GB2312" w:eastAsia="仿宋_GB2312" w:cs="仿宋_GB2312"/>
          <w:kern w:val="2"/>
          <w:sz w:val="32"/>
          <w:szCs w:val="32"/>
          <w:lang w:val="en-US" w:eastAsia="zh-CN" w:bidi="ar-SA"/>
        </w:rPr>
      </w:pPr>
      <w:r>
        <w:rPr>
          <w:rStyle w:val="11"/>
          <w:rFonts w:hint="default" w:ascii="Times New Roman" w:hAnsi="Times New Roman" w:eastAsia="仿宋_GB2312" w:cs="Times New Roman"/>
          <w:b w:val="0"/>
          <w:kern w:val="2"/>
          <w:sz w:val="32"/>
          <w:szCs w:val="32"/>
          <w:lang w:val="en-US" w:eastAsia="zh-CN" w:bidi="ar-SA"/>
        </w:rPr>
        <w:t>（三）</w:t>
      </w:r>
      <w:r>
        <w:rPr>
          <w:rStyle w:val="11"/>
          <w:rFonts w:hint="default" w:ascii="Times New Roman" w:hAnsi="Times New Roman" w:eastAsia="仿宋_GB2312" w:cs="Times New Roman"/>
          <w:kern w:val="2"/>
          <w:sz w:val="32"/>
          <w:szCs w:val="32"/>
          <w:lang w:val="en-US" w:eastAsia="zh-CN" w:bidi="ar-SA"/>
        </w:rPr>
        <w:t>在采样池侧按规范安装环境保护图形标</w:t>
      </w:r>
      <w:r>
        <w:rPr>
          <w:rStyle w:val="11"/>
          <w:rFonts w:hint="eastAsia" w:ascii="仿宋_GB2312" w:hAnsi="仿宋_GB2312" w:eastAsia="仿宋_GB2312" w:cs="仿宋_GB2312"/>
          <w:kern w:val="2"/>
          <w:sz w:val="32"/>
          <w:szCs w:val="32"/>
          <w:lang w:val="en-US" w:eastAsia="zh-CN" w:bidi="ar-SA"/>
        </w:rPr>
        <w:t>志牌。</w:t>
      </w:r>
    </w:p>
    <w:p w14:paraId="0C06EC3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1"/>
          <w:rFonts w:hint="eastAsia" w:ascii="黑体" w:hAnsi="黑体" w:eastAsia="黑体" w:cs="黑体"/>
          <w:b w:val="0"/>
          <w:bCs/>
          <w:kern w:val="2"/>
          <w:sz w:val="32"/>
          <w:szCs w:val="32"/>
          <w:lang w:val="en-US" w:eastAsia="zh-CN" w:bidi="ar-SA"/>
        </w:rPr>
      </w:pPr>
      <w:r>
        <w:rPr>
          <w:rStyle w:val="11"/>
          <w:rFonts w:hint="eastAsia" w:ascii="黑体" w:hAnsi="黑体" w:eastAsia="黑体" w:cs="黑体"/>
          <w:b w:val="0"/>
          <w:bCs/>
          <w:kern w:val="2"/>
          <w:sz w:val="32"/>
          <w:szCs w:val="32"/>
          <w:lang w:val="en-US" w:eastAsia="zh-CN" w:bidi="ar-SA"/>
        </w:rPr>
        <w:t>三、固定污染源排气的采样口设置规范</w:t>
      </w:r>
    </w:p>
    <w:p w14:paraId="744FFFB5">
      <w:pPr>
        <w:pStyle w:val="6"/>
        <w:spacing w:line="360" w:lineRule="auto"/>
        <w:ind w:firstLine="560"/>
        <w:rPr>
          <w:rStyle w:val="11"/>
          <w:rFonts w:hint="eastAsia" w:ascii="仿宋_GB2312" w:hAnsi="仿宋_GB2312" w:eastAsia="仿宋_GB2312" w:cs="仿宋_GB2312"/>
          <w:b w:val="0"/>
          <w:sz w:val="32"/>
          <w:szCs w:val="32"/>
          <w:lang w:val="en-US" w:eastAsia="zh-CN"/>
        </w:rPr>
      </w:pPr>
      <w:r>
        <w:rPr>
          <w:rStyle w:val="11"/>
          <w:rFonts w:hint="eastAsia" w:ascii="仿宋_GB2312" w:hAnsi="仿宋_GB2312" w:eastAsia="仿宋_GB2312" w:cs="仿宋_GB2312"/>
          <w:b w:val="0"/>
          <w:sz w:val="32"/>
          <w:szCs w:val="32"/>
          <w:lang w:val="en-US" w:eastAsia="zh-CN"/>
        </w:rPr>
        <w:t>（一）采样口位置</w:t>
      </w:r>
    </w:p>
    <w:p w14:paraId="6592EDFB">
      <w:pPr>
        <w:spacing w:line="360" w:lineRule="auto"/>
        <w:ind w:firstLine="640" w:firstLineChars="200"/>
        <w:rPr>
          <w:rStyle w:val="11"/>
          <w:rFonts w:hint="default" w:ascii="Times New Roman" w:hAnsi="Times New Roman" w:eastAsia="仿宋_GB2312" w:cs="Times New Roman"/>
          <w:kern w:val="2"/>
          <w:sz w:val="32"/>
          <w:szCs w:val="32"/>
          <w:lang w:val="en-US" w:eastAsia="zh-CN" w:bidi="ar-SA"/>
        </w:rPr>
      </w:pPr>
      <w:r>
        <w:rPr>
          <w:rStyle w:val="11"/>
          <w:rFonts w:hint="default" w:ascii="Times New Roman" w:hAnsi="Times New Roman" w:eastAsia="仿宋_GB2312" w:cs="Times New Roman"/>
          <w:kern w:val="2"/>
          <w:sz w:val="32"/>
          <w:szCs w:val="32"/>
          <w:lang w:val="en-US" w:eastAsia="zh-CN" w:bidi="ar-SA"/>
        </w:rPr>
        <w:t>采样口位置应优先选择在垂直管段。应避开烟道弯头和断面急剧变化的部位。采样口位置应设置在距弯头、阀门、变径管下游方向不小于6倍直径，和距上述部件上游方向不小于3倍直径处（见图1）。对矩形烟道，其当量直径D=2AB/（A+B）（A、B为边长）。</w:t>
      </w:r>
    </w:p>
    <w:p w14:paraId="2FC8C612">
      <w:pPr>
        <w:spacing w:line="360" w:lineRule="auto"/>
        <w:ind w:firstLine="640" w:firstLineChars="200"/>
        <w:rPr>
          <w:rStyle w:val="11"/>
          <w:rFonts w:hint="default" w:ascii="Times New Roman" w:hAnsi="Times New Roman" w:eastAsia="仿宋_GB2312" w:cs="Times New Roman"/>
          <w:kern w:val="2"/>
          <w:sz w:val="32"/>
          <w:szCs w:val="32"/>
          <w:lang w:val="en-US" w:eastAsia="zh-CN" w:bidi="ar-SA"/>
        </w:rPr>
      </w:pPr>
      <w:r>
        <w:rPr>
          <w:rStyle w:val="11"/>
          <w:rFonts w:hint="default" w:ascii="Times New Roman" w:hAnsi="Times New Roman" w:eastAsia="仿宋_GB2312" w:cs="Times New Roman"/>
          <w:kern w:val="2"/>
          <w:sz w:val="32"/>
          <w:szCs w:val="32"/>
          <w:lang w:val="en-US" w:eastAsia="zh-CN" w:bidi="ar-SA"/>
        </w:rPr>
        <w:t>注：（1）若只需采集气态污染物，其采样位置可不受上述规定限制，但应避开涡流区。</w:t>
      </w:r>
    </w:p>
    <w:p w14:paraId="27AB420D">
      <w:pPr>
        <w:spacing w:line="360" w:lineRule="auto"/>
        <w:ind w:firstLine="640" w:firstLineChars="200"/>
        <w:rPr>
          <w:rStyle w:val="11"/>
          <w:rFonts w:hint="default" w:ascii="Times New Roman" w:hAnsi="Times New Roman" w:eastAsia="仿宋_GB2312" w:cs="Times New Roman"/>
          <w:kern w:val="2"/>
          <w:sz w:val="32"/>
          <w:szCs w:val="32"/>
          <w:lang w:val="en-US" w:eastAsia="zh-CN" w:bidi="ar-SA"/>
        </w:rPr>
      </w:pPr>
      <w:r>
        <w:rPr>
          <w:rStyle w:val="11"/>
          <w:rFonts w:hint="default" w:ascii="Times New Roman" w:hAnsi="Times New Roman" w:eastAsia="仿宋_GB2312" w:cs="Times New Roman"/>
          <w:kern w:val="2"/>
          <w:sz w:val="32"/>
          <w:szCs w:val="32"/>
          <w:lang w:val="en-US" w:eastAsia="zh-CN" w:bidi="ar-SA"/>
        </w:rPr>
        <w:t>（2）采样位置应避开对监测人员有危险的场所。</w:t>
      </w:r>
    </w:p>
    <w:p w14:paraId="5BB4CEB5">
      <w:pPr>
        <w:pStyle w:val="6"/>
        <w:spacing w:line="360" w:lineRule="auto"/>
        <w:ind w:firstLine="560"/>
        <w:rPr>
          <w:rStyle w:val="11"/>
          <w:rFonts w:hint="default" w:ascii="Times New Roman" w:hAnsi="Times New Roman" w:eastAsia="仿宋_GB2312" w:cs="Times New Roman"/>
          <w:b w:val="0"/>
          <w:sz w:val="32"/>
          <w:szCs w:val="32"/>
          <w:lang w:val="en-US" w:eastAsia="zh-CN"/>
        </w:rPr>
      </w:pPr>
      <w:r>
        <w:rPr>
          <w:rStyle w:val="11"/>
          <w:rFonts w:hint="default" w:ascii="Times New Roman" w:hAnsi="Times New Roman" w:eastAsia="仿宋_GB2312" w:cs="Times New Roman"/>
          <w:b w:val="0"/>
          <w:sz w:val="32"/>
          <w:szCs w:val="32"/>
          <w:lang w:val="en-US" w:eastAsia="zh-CN"/>
        </w:rPr>
        <w:t>（二）采样口</w:t>
      </w:r>
    </w:p>
    <w:p w14:paraId="751EAA81">
      <w:pPr>
        <w:spacing w:line="360" w:lineRule="auto"/>
        <w:ind w:firstLine="640" w:firstLineChars="200"/>
        <w:rPr>
          <w:rStyle w:val="11"/>
          <w:rFonts w:hint="default" w:ascii="Times New Roman" w:hAnsi="Times New Roman" w:eastAsia="仿宋_GB2312" w:cs="Times New Roman"/>
          <w:kern w:val="2"/>
          <w:sz w:val="32"/>
          <w:szCs w:val="32"/>
          <w:lang w:val="en-US" w:eastAsia="zh-CN" w:bidi="ar-SA"/>
        </w:rPr>
      </w:pPr>
      <w:r>
        <w:rPr>
          <w:rStyle w:val="11"/>
          <w:rFonts w:hint="default" w:ascii="Times New Roman" w:hAnsi="Times New Roman" w:eastAsia="仿宋_GB2312" w:cs="Times New Roman"/>
          <w:kern w:val="2"/>
          <w:sz w:val="32"/>
          <w:szCs w:val="32"/>
          <w:lang w:val="en-US" w:eastAsia="zh-CN" w:bidi="ar-SA"/>
        </w:rPr>
        <w:t>在选定的测定位置开设采样口，采样口内径不小于90毫米，采样孔的管长应不大于50 毫米。不使用时应用盖板、管堵或管帽封闭。</w:t>
      </w:r>
    </w:p>
    <w:p w14:paraId="754F56A1">
      <w:pPr>
        <w:spacing w:line="360" w:lineRule="auto"/>
        <w:ind w:firstLine="640" w:firstLineChars="200"/>
        <w:rPr>
          <w:rStyle w:val="11"/>
          <w:rFonts w:hint="default" w:ascii="Times New Roman" w:hAnsi="Times New Roman" w:eastAsia="仿宋_GB2312" w:cs="Times New Roman"/>
          <w:kern w:val="2"/>
          <w:sz w:val="32"/>
          <w:szCs w:val="32"/>
          <w:lang w:val="en-US" w:eastAsia="zh-CN" w:bidi="ar-SA"/>
        </w:rPr>
      </w:pPr>
      <w:r>
        <w:rPr>
          <w:rStyle w:val="11"/>
          <w:rFonts w:hint="default" w:ascii="Times New Roman" w:hAnsi="Times New Roman" w:eastAsia="仿宋_GB2312" w:cs="Times New Roman"/>
          <w:kern w:val="2"/>
          <w:sz w:val="32"/>
          <w:szCs w:val="32"/>
          <w:lang w:val="en-US" w:eastAsia="zh-CN" w:bidi="ar-SA"/>
        </w:rPr>
        <w:t>距采样口300毫米处，焊一V字型支架，以托举采样枪。</w:t>
      </w:r>
    </w:p>
    <w:p w14:paraId="7FE89B2C">
      <w:pPr>
        <w:pStyle w:val="6"/>
        <w:spacing w:line="360" w:lineRule="auto"/>
        <w:ind w:firstLine="560"/>
        <w:rPr>
          <w:rStyle w:val="11"/>
          <w:rFonts w:hint="default" w:ascii="Times New Roman" w:hAnsi="Times New Roman" w:eastAsia="仿宋_GB2312" w:cs="Times New Roman"/>
          <w:b w:val="0"/>
          <w:sz w:val="32"/>
          <w:szCs w:val="32"/>
          <w:lang w:val="en-US" w:eastAsia="zh-CN"/>
        </w:rPr>
      </w:pPr>
      <w:r>
        <w:rPr>
          <w:rStyle w:val="11"/>
          <w:rFonts w:hint="default" w:ascii="Times New Roman" w:hAnsi="Times New Roman" w:eastAsia="仿宋_GB2312" w:cs="Times New Roman"/>
          <w:b w:val="0"/>
          <w:sz w:val="32"/>
          <w:szCs w:val="32"/>
          <w:lang w:val="en-US" w:eastAsia="zh-CN"/>
        </w:rPr>
        <w:t>（三）采样平台</w:t>
      </w:r>
    </w:p>
    <w:p w14:paraId="70850BF9">
      <w:pPr>
        <w:spacing w:line="360" w:lineRule="auto"/>
        <w:ind w:firstLine="420"/>
        <w:rPr>
          <w:rStyle w:val="11"/>
          <w:rFonts w:hint="default" w:ascii="Times New Roman" w:hAnsi="Times New Roman" w:eastAsia="仿宋_GB2312" w:cs="Times New Roman"/>
          <w:kern w:val="2"/>
          <w:sz w:val="32"/>
          <w:szCs w:val="32"/>
          <w:lang w:val="en-US" w:eastAsia="zh-CN" w:bidi="ar-SA"/>
        </w:rPr>
      </w:pPr>
      <w:r>
        <w:rPr>
          <w:rStyle w:val="11"/>
          <w:rFonts w:hint="default" w:ascii="Times New Roman" w:hAnsi="Times New Roman" w:eastAsia="仿宋_GB2312" w:cs="Times New Roman"/>
          <w:b w:val="0"/>
          <w:sz w:val="32"/>
          <w:szCs w:val="32"/>
          <w:lang w:val="en-US" w:eastAsia="zh-CN"/>
        </w:rPr>
        <w:t>采样平台为监测人员采样设置，平台面积不小于1.5平方米，并设有约</w:t>
      </w:r>
      <w:r>
        <w:rPr>
          <w:rStyle w:val="11"/>
          <w:rFonts w:hint="default" w:ascii="Times New Roman" w:hAnsi="Times New Roman" w:eastAsia="仿宋_GB2312" w:cs="Times New Roman"/>
          <w:kern w:val="2"/>
          <w:sz w:val="32"/>
          <w:szCs w:val="32"/>
          <w:lang w:val="en-US" w:eastAsia="zh-CN" w:bidi="ar-SA"/>
        </w:rPr>
        <w:t>1.1米高的护栏和不低于10厘米的脚部挡板，采样孔距平台面约1.2-1.3米。</w:t>
      </w:r>
    </w:p>
    <w:p w14:paraId="543347DB">
      <w:pPr>
        <w:pStyle w:val="6"/>
        <w:spacing w:line="360" w:lineRule="auto"/>
        <w:ind w:firstLine="560"/>
        <w:rPr>
          <w:rStyle w:val="11"/>
          <w:rFonts w:hint="default" w:ascii="Times New Roman" w:hAnsi="Times New Roman" w:eastAsia="仿宋_GB2312" w:cs="Times New Roman"/>
          <w:b w:val="0"/>
          <w:sz w:val="32"/>
          <w:szCs w:val="32"/>
          <w:lang w:val="en-US" w:eastAsia="zh-CN"/>
        </w:rPr>
      </w:pPr>
      <w:r>
        <w:rPr>
          <w:rStyle w:val="11"/>
          <w:rFonts w:hint="default" w:ascii="Times New Roman" w:hAnsi="Times New Roman" w:eastAsia="仿宋_GB2312" w:cs="Times New Roman"/>
          <w:b w:val="0"/>
          <w:sz w:val="32"/>
          <w:szCs w:val="32"/>
          <w:lang w:val="en-US" w:eastAsia="zh-CN"/>
        </w:rPr>
        <w:t>（四）图示</w:t>
      </w:r>
    </w:p>
    <w:p w14:paraId="12D8DAD1">
      <w:pPr>
        <w:rPr>
          <w:rStyle w:val="11"/>
          <w:rFonts w:hint="default" w:ascii="Times New Roman" w:hAnsi="Times New Roman" w:eastAsia="仿宋_GB2312" w:cs="Times New Roman"/>
          <w:kern w:val="2"/>
          <w:sz w:val="21"/>
          <w:szCs w:val="22"/>
          <w:lang w:val="en-US" w:eastAsia="zh-CN" w:bidi="ar-SA"/>
        </w:rPr>
      </w:pPr>
      <w:r>
        <w:rPr>
          <w:rStyle w:val="11"/>
          <w:rFonts w:hint="default" w:ascii="Times New Roman" w:hAnsi="Times New Roman" w:eastAsia="仿宋_GB2312" w:cs="Times New Roman"/>
          <w:kern w:val="2"/>
          <w:sz w:val="28"/>
          <w:szCs w:val="22"/>
          <w:lang w:val="en-US" w:eastAsia="zh-CN" w:bidi="ar-SA"/>
        </w:rPr>
        <w:drawing>
          <wp:anchor distT="0" distB="0" distL="114300" distR="114300" simplePos="0" relativeHeight="251659264" behindDoc="0" locked="0" layoutInCell="1" allowOverlap="1">
            <wp:simplePos x="0" y="0"/>
            <wp:positionH relativeFrom="column">
              <wp:posOffset>2790190</wp:posOffset>
            </wp:positionH>
            <wp:positionV relativeFrom="paragraph">
              <wp:posOffset>12065</wp:posOffset>
            </wp:positionV>
            <wp:extent cx="1663700" cy="1871345"/>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663700" cy="1871345"/>
                    </a:xfrm>
                    <a:prstGeom prst="rect">
                      <a:avLst/>
                    </a:prstGeom>
                    <a:noFill/>
                    <a:ln>
                      <a:noFill/>
                    </a:ln>
                  </pic:spPr>
                </pic:pic>
              </a:graphicData>
            </a:graphic>
          </wp:anchor>
        </w:drawing>
      </w:r>
      <w:r>
        <w:rPr>
          <w:rStyle w:val="11"/>
          <w:rFonts w:hint="default" w:ascii="Times New Roman" w:hAnsi="Times New Roman" w:eastAsia="仿宋_GB2312" w:cs="Times New Roman"/>
          <w:kern w:val="2"/>
          <w:sz w:val="21"/>
          <w:szCs w:val="22"/>
          <w:lang w:val="en-US" w:eastAsia="zh-CN" w:bidi="ar-SA"/>
        </w:rPr>
        <w:drawing>
          <wp:anchor distT="0" distB="0" distL="114300" distR="114300" simplePos="0" relativeHeight="251660288" behindDoc="0" locked="0" layoutInCell="1" allowOverlap="1">
            <wp:simplePos x="0" y="0"/>
            <wp:positionH relativeFrom="column">
              <wp:posOffset>533400</wp:posOffset>
            </wp:positionH>
            <wp:positionV relativeFrom="paragraph">
              <wp:posOffset>48260</wp:posOffset>
            </wp:positionV>
            <wp:extent cx="1440180" cy="1868805"/>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1440180" cy="1868805"/>
                    </a:xfrm>
                    <a:prstGeom prst="rect">
                      <a:avLst/>
                    </a:prstGeom>
                    <a:noFill/>
                    <a:ln>
                      <a:noFill/>
                    </a:ln>
                  </pic:spPr>
                </pic:pic>
              </a:graphicData>
            </a:graphic>
          </wp:anchor>
        </w:drawing>
      </w:r>
    </w:p>
    <w:p w14:paraId="72C957D2">
      <w:pPr>
        <w:rPr>
          <w:rStyle w:val="11"/>
          <w:rFonts w:hint="default" w:ascii="Times New Roman" w:hAnsi="Times New Roman" w:eastAsia="仿宋_GB2312" w:cs="Times New Roman"/>
          <w:kern w:val="2"/>
          <w:sz w:val="21"/>
          <w:szCs w:val="22"/>
          <w:lang w:val="en-US" w:eastAsia="zh-CN" w:bidi="ar-SA"/>
        </w:rPr>
      </w:pPr>
    </w:p>
    <w:p w14:paraId="6CA1786C">
      <w:pPr>
        <w:rPr>
          <w:rStyle w:val="11"/>
          <w:rFonts w:hint="default" w:ascii="Times New Roman" w:hAnsi="Times New Roman" w:eastAsia="仿宋_GB2312" w:cs="Times New Roman"/>
          <w:kern w:val="2"/>
          <w:sz w:val="21"/>
          <w:szCs w:val="22"/>
          <w:lang w:val="en-US" w:eastAsia="zh-CN" w:bidi="ar-SA"/>
        </w:rPr>
      </w:pPr>
    </w:p>
    <w:p w14:paraId="787A5713">
      <w:pPr>
        <w:rPr>
          <w:rStyle w:val="11"/>
          <w:rFonts w:hint="default" w:ascii="Times New Roman" w:hAnsi="Times New Roman" w:eastAsia="仿宋_GB2312" w:cs="Times New Roman"/>
          <w:kern w:val="2"/>
          <w:sz w:val="21"/>
          <w:szCs w:val="22"/>
          <w:lang w:val="en-US" w:eastAsia="zh-CN" w:bidi="ar-SA"/>
        </w:rPr>
      </w:pPr>
    </w:p>
    <w:p w14:paraId="24C29AA4">
      <w:pPr>
        <w:rPr>
          <w:rStyle w:val="11"/>
          <w:rFonts w:hint="default" w:ascii="Times New Roman" w:hAnsi="Times New Roman" w:eastAsia="仿宋_GB2312" w:cs="Times New Roman"/>
          <w:kern w:val="2"/>
          <w:sz w:val="21"/>
          <w:szCs w:val="22"/>
          <w:lang w:val="en-US" w:eastAsia="zh-CN" w:bidi="ar-SA"/>
        </w:rPr>
      </w:pPr>
    </w:p>
    <w:p w14:paraId="56C451B1">
      <w:pPr>
        <w:rPr>
          <w:rStyle w:val="11"/>
          <w:rFonts w:hint="default" w:ascii="Times New Roman" w:hAnsi="Times New Roman" w:eastAsia="仿宋_GB2312" w:cs="Times New Roman"/>
          <w:kern w:val="2"/>
          <w:sz w:val="21"/>
          <w:szCs w:val="22"/>
          <w:lang w:val="en-US" w:eastAsia="zh-CN" w:bidi="ar-SA"/>
        </w:rPr>
      </w:pPr>
    </w:p>
    <w:p w14:paraId="4D5BFC32">
      <w:pPr>
        <w:rPr>
          <w:rStyle w:val="11"/>
          <w:rFonts w:hint="default" w:ascii="Times New Roman" w:hAnsi="Times New Roman" w:eastAsia="仿宋_GB2312" w:cs="Times New Roman"/>
          <w:kern w:val="2"/>
          <w:sz w:val="21"/>
          <w:szCs w:val="22"/>
          <w:lang w:val="en-US" w:eastAsia="zh-CN" w:bidi="ar-SA"/>
        </w:rPr>
      </w:pPr>
    </w:p>
    <w:p w14:paraId="478D8CB2">
      <w:pPr>
        <w:rPr>
          <w:rStyle w:val="11"/>
          <w:rFonts w:hint="default" w:ascii="Times New Roman" w:hAnsi="Times New Roman" w:eastAsia="仿宋_GB2312" w:cs="Times New Roman"/>
          <w:kern w:val="2"/>
          <w:sz w:val="21"/>
          <w:szCs w:val="22"/>
          <w:lang w:val="en-US" w:eastAsia="zh-CN" w:bidi="ar-SA"/>
        </w:rPr>
      </w:pPr>
    </w:p>
    <w:p w14:paraId="1614EA67">
      <w:pPr>
        <w:rPr>
          <w:rStyle w:val="11"/>
          <w:rFonts w:hint="default" w:ascii="Times New Roman" w:hAnsi="Times New Roman" w:eastAsia="仿宋_GB2312" w:cs="Times New Roman"/>
          <w:kern w:val="2"/>
          <w:sz w:val="21"/>
          <w:szCs w:val="22"/>
          <w:lang w:val="en-US" w:eastAsia="zh-CN" w:bidi="ar-SA"/>
        </w:rPr>
      </w:pPr>
    </w:p>
    <w:p w14:paraId="64F13F59">
      <w:pPr>
        <w:rPr>
          <w:rStyle w:val="11"/>
          <w:rFonts w:hint="default" w:ascii="Times New Roman" w:hAnsi="Times New Roman" w:eastAsia="仿宋_GB2312" w:cs="Times New Roman"/>
          <w:kern w:val="2"/>
          <w:sz w:val="21"/>
          <w:szCs w:val="22"/>
          <w:lang w:val="en-US" w:eastAsia="zh-CN" w:bidi="ar-SA"/>
        </w:rPr>
      </w:pPr>
    </w:p>
    <w:p w14:paraId="39F15E69">
      <w:pPr>
        <w:rPr>
          <w:rStyle w:val="11"/>
          <w:rFonts w:hint="default" w:ascii="Times New Roman" w:hAnsi="Times New Roman" w:eastAsia="仿宋_GB2312" w:cs="Times New Roman"/>
          <w:kern w:val="2"/>
          <w:sz w:val="21"/>
          <w:szCs w:val="22"/>
          <w:lang w:val="en-US" w:eastAsia="zh-CN" w:bidi="ar-SA"/>
        </w:rPr>
      </w:pPr>
      <w:r>
        <w:rPr>
          <w:rStyle w:val="11"/>
          <w:rFonts w:hint="default" w:ascii="Times New Roman" w:hAnsi="Times New Roman" w:eastAsia="仿宋_GB2312" w:cs="Times New Roman"/>
          <w:kern w:val="2"/>
          <w:sz w:val="21"/>
          <w:szCs w:val="22"/>
          <w:lang w:val="en-US" w:eastAsia="zh-CN" w:bidi="ar-SA"/>
        </w:rPr>
        <w:t xml:space="preserve">       </w:t>
      </w:r>
      <w:r>
        <w:rPr>
          <w:rStyle w:val="11"/>
          <w:rFonts w:hint="eastAsia" w:ascii="Times New Roman" w:hAnsi="Times New Roman" w:eastAsia="仿宋_GB2312" w:cs="Times New Roman"/>
          <w:kern w:val="2"/>
          <w:sz w:val="21"/>
          <w:szCs w:val="22"/>
          <w:lang w:val="en-US" w:eastAsia="zh-CN" w:bidi="ar-SA"/>
        </w:rPr>
        <w:t xml:space="preserve">   </w:t>
      </w:r>
      <w:r>
        <w:rPr>
          <w:rStyle w:val="11"/>
          <w:rFonts w:hint="default" w:ascii="Times New Roman" w:hAnsi="Times New Roman" w:eastAsia="仿宋_GB2312" w:cs="Times New Roman"/>
          <w:kern w:val="2"/>
          <w:sz w:val="21"/>
          <w:szCs w:val="22"/>
          <w:lang w:val="en-US" w:eastAsia="zh-CN" w:bidi="ar-SA"/>
        </w:rPr>
        <w:t xml:space="preserve">  烟道开口示意图              </w:t>
      </w:r>
      <w:r>
        <w:rPr>
          <w:rStyle w:val="11"/>
          <w:rFonts w:hint="eastAsia" w:ascii="Times New Roman" w:hAnsi="Times New Roman" w:eastAsia="仿宋_GB2312" w:cs="Times New Roman"/>
          <w:kern w:val="2"/>
          <w:sz w:val="21"/>
          <w:szCs w:val="22"/>
          <w:lang w:val="en-US" w:eastAsia="zh-CN" w:bidi="ar-SA"/>
        </w:rPr>
        <w:t xml:space="preserve">       </w:t>
      </w:r>
      <w:r>
        <w:rPr>
          <w:rStyle w:val="11"/>
          <w:rFonts w:hint="default" w:ascii="Times New Roman" w:hAnsi="Times New Roman" w:eastAsia="仿宋_GB2312" w:cs="Times New Roman"/>
          <w:kern w:val="2"/>
          <w:sz w:val="21"/>
          <w:szCs w:val="22"/>
          <w:lang w:val="en-US" w:eastAsia="zh-CN" w:bidi="ar-SA"/>
        </w:rPr>
        <w:t xml:space="preserve">  整体示意图</w:t>
      </w:r>
    </w:p>
    <w:p w14:paraId="44DD4272">
      <w:pPr>
        <w:rPr>
          <w:rStyle w:val="11"/>
          <w:rFonts w:hint="default" w:ascii="Times New Roman" w:hAnsi="Times New Roman" w:eastAsia="仿宋_GB2312" w:cs="Times New Roman"/>
          <w:kern w:val="2"/>
          <w:sz w:val="21"/>
          <w:szCs w:val="22"/>
          <w:lang w:val="en-US" w:eastAsia="zh-CN" w:bidi="ar-SA"/>
        </w:rPr>
      </w:pPr>
    </w:p>
    <w:p w14:paraId="2B735F8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1"/>
          <w:rFonts w:hint="default" w:ascii="黑体" w:hAnsi="黑体" w:eastAsia="黑体" w:cs="黑体"/>
          <w:b w:val="0"/>
          <w:bCs/>
          <w:kern w:val="2"/>
          <w:sz w:val="32"/>
          <w:szCs w:val="32"/>
          <w:lang w:val="en-US" w:eastAsia="zh-CN" w:bidi="ar-SA"/>
        </w:rPr>
      </w:pPr>
      <w:r>
        <w:rPr>
          <w:rStyle w:val="11"/>
          <w:rFonts w:hint="eastAsia" w:ascii="黑体" w:hAnsi="黑体" w:eastAsia="黑体" w:cs="黑体"/>
          <w:b w:val="0"/>
          <w:bCs/>
          <w:kern w:val="2"/>
          <w:sz w:val="32"/>
          <w:szCs w:val="32"/>
          <w:lang w:val="en-US" w:eastAsia="zh-CN" w:bidi="ar-SA"/>
        </w:rPr>
        <w:t>四</w:t>
      </w:r>
      <w:r>
        <w:rPr>
          <w:rStyle w:val="11"/>
          <w:rFonts w:hint="default" w:ascii="黑体" w:hAnsi="黑体" w:eastAsia="黑体" w:cs="黑体"/>
          <w:b w:val="0"/>
          <w:bCs/>
          <w:kern w:val="2"/>
          <w:sz w:val="32"/>
          <w:szCs w:val="32"/>
          <w:lang w:val="en-US" w:eastAsia="zh-CN" w:bidi="ar-SA"/>
        </w:rPr>
        <w:t>、固体废物贮存（处置）场所设置规范</w:t>
      </w:r>
    </w:p>
    <w:p w14:paraId="32C19511">
      <w:pPr>
        <w:pStyle w:val="6"/>
        <w:spacing w:line="360" w:lineRule="auto"/>
        <w:ind w:firstLine="560"/>
        <w:rPr>
          <w:rStyle w:val="11"/>
          <w:rFonts w:hint="default" w:ascii="Times New Roman" w:hAnsi="Times New Roman" w:eastAsia="仿宋_GB2312" w:cs="Times New Roman"/>
          <w:b w:val="0"/>
          <w:sz w:val="32"/>
          <w:szCs w:val="32"/>
        </w:rPr>
      </w:pPr>
      <w:r>
        <w:rPr>
          <w:rStyle w:val="11"/>
          <w:rFonts w:hint="eastAsia" w:eastAsia="仿宋_GB2312" w:cs="Times New Roman"/>
          <w:b w:val="0"/>
          <w:sz w:val="32"/>
          <w:szCs w:val="32"/>
        </w:rPr>
        <w:t>（</w:t>
      </w:r>
      <w:r>
        <w:rPr>
          <w:rStyle w:val="11"/>
          <w:rFonts w:hint="eastAsia" w:eastAsia="仿宋_GB2312" w:cs="Times New Roman"/>
          <w:b w:val="0"/>
          <w:sz w:val="32"/>
          <w:szCs w:val="32"/>
          <w:lang w:val="en-US"/>
        </w:rPr>
        <w:t>一）</w:t>
      </w:r>
      <w:r>
        <w:rPr>
          <w:rStyle w:val="11"/>
          <w:rFonts w:hint="default" w:ascii="Times New Roman" w:hAnsi="Times New Roman" w:eastAsia="仿宋_GB2312" w:cs="Times New Roman"/>
          <w:b w:val="0"/>
          <w:sz w:val="32"/>
          <w:szCs w:val="32"/>
        </w:rPr>
        <w:t> 产生或处置固体废物的单位的</w:t>
      </w:r>
      <w:r>
        <w:rPr>
          <w:rStyle w:val="11"/>
          <w:rFonts w:hint="eastAsia" w:eastAsia="仿宋_GB2312" w:cs="Times New Roman"/>
          <w:b w:val="0"/>
          <w:sz w:val="32"/>
          <w:szCs w:val="32"/>
          <w:lang w:val="en-US"/>
        </w:rPr>
        <w:t>一般工业</w:t>
      </w:r>
      <w:r>
        <w:rPr>
          <w:rStyle w:val="11"/>
          <w:rFonts w:hint="default" w:ascii="Times New Roman" w:hAnsi="Times New Roman" w:eastAsia="仿宋_GB2312" w:cs="Times New Roman"/>
          <w:b w:val="0"/>
          <w:sz w:val="32"/>
          <w:szCs w:val="32"/>
        </w:rPr>
        <w:t>固体废物贮存场所</w:t>
      </w:r>
      <w:r>
        <w:rPr>
          <w:rStyle w:val="11"/>
          <w:rFonts w:hint="eastAsia" w:eastAsia="仿宋_GB2312" w:cs="Times New Roman"/>
          <w:b w:val="0"/>
          <w:sz w:val="32"/>
          <w:szCs w:val="32"/>
          <w:lang w:val="en-US"/>
        </w:rPr>
        <w:t>应满足相应防渗漏、防雨淋、防扬尘等环境保护要求</w:t>
      </w:r>
      <w:r>
        <w:rPr>
          <w:rStyle w:val="11"/>
          <w:rFonts w:hint="eastAsia" w:eastAsia="仿宋_GB2312" w:cs="Times New Roman"/>
          <w:b w:val="0"/>
          <w:sz w:val="32"/>
          <w:szCs w:val="32"/>
        </w:rPr>
        <w:t>，</w:t>
      </w:r>
      <w:r>
        <w:rPr>
          <w:rStyle w:val="11"/>
          <w:rFonts w:hint="eastAsia" w:eastAsia="仿宋_GB2312" w:cs="Times New Roman"/>
          <w:b w:val="0"/>
          <w:sz w:val="32"/>
          <w:szCs w:val="32"/>
          <w:lang w:val="en-US"/>
        </w:rPr>
        <w:t>危险废物贮存场所</w:t>
      </w:r>
      <w:r>
        <w:rPr>
          <w:rStyle w:val="11"/>
          <w:rFonts w:hint="default" w:ascii="Times New Roman" w:hAnsi="Times New Roman" w:eastAsia="仿宋_GB2312" w:cs="Times New Roman"/>
          <w:b w:val="0"/>
          <w:sz w:val="32"/>
          <w:szCs w:val="32"/>
        </w:rPr>
        <w:t>应符合《危险废物贮存污染控制标准》（GB18597-20</w:t>
      </w:r>
      <w:r>
        <w:rPr>
          <w:rStyle w:val="11"/>
          <w:rFonts w:hint="default" w:ascii="Times New Roman" w:hAnsi="Times New Roman" w:eastAsia="仿宋_GB2312" w:cs="Times New Roman"/>
          <w:b w:val="0"/>
          <w:sz w:val="32"/>
          <w:szCs w:val="32"/>
          <w:lang w:val="en-US"/>
        </w:rPr>
        <w:t>23</w:t>
      </w:r>
      <w:r>
        <w:rPr>
          <w:rStyle w:val="11"/>
          <w:rFonts w:hint="default" w:ascii="Times New Roman" w:hAnsi="Times New Roman" w:eastAsia="仿宋_GB2312" w:cs="Times New Roman"/>
          <w:b w:val="0"/>
          <w:sz w:val="32"/>
          <w:szCs w:val="32"/>
        </w:rPr>
        <w:t>）的要求。贮存或处置医疗废物的，还应满足《医疗废物处理处置污染控制标准》（</w:t>
      </w:r>
      <w:r>
        <w:rPr>
          <w:rStyle w:val="11"/>
          <w:rFonts w:hint="default" w:ascii="Times New Roman" w:hAnsi="Times New Roman" w:eastAsia="仿宋_GB2312"/>
          <w:sz w:val="32"/>
          <w:szCs w:val="32"/>
        </w:rPr>
        <w:t>GB39707</w:t>
      </w:r>
      <w:r>
        <w:rPr>
          <w:rStyle w:val="11"/>
          <w:rFonts w:hint="eastAsia" w:eastAsia="仿宋_GB2312"/>
          <w:sz w:val="32"/>
          <w:szCs w:val="32"/>
          <w:lang w:val="en-US"/>
        </w:rPr>
        <w:t>-</w:t>
      </w:r>
      <w:r>
        <w:rPr>
          <w:rStyle w:val="11"/>
          <w:rFonts w:hint="default" w:ascii="Times New Roman" w:hAnsi="Times New Roman" w:eastAsia="仿宋_GB2312"/>
          <w:sz w:val="32"/>
          <w:szCs w:val="32"/>
        </w:rPr>
        <w:t>2020</w:t>
      </w:r>
      <w:r>
        <w:rPr>
          <w:rStyle w:val="11"/>
          <w:rFonts w:hint="default" w:ascii="Times New Roman" w:hAnsi="Times New Roman" w:eastAsia="仿宋_GB2312" w:cs="Times New Roman"/>
          <w:b w:val="0"/>
          <w:sz w:val="32"/>
          <w:szCs w:val="32"/>
        </w:rPr>
        <w:t>）</w:t>
      </w:r>
      <w:r>
        <w:rPr>
          <w:rStyle w:val="11"/>
          <w:rFonts w:hint="eastAsia" w:eastAsia="仿宋_GB2312" w:cs="Times New Roman"/>
          <w:b w:val="0"/>
          <w:sz w:val="32"/>
          <w:szCs w:val="32"/>
        </w:rPr>
        <w:t>的</w:t>
      </w:r>
      <w:r>
        <w:rPr>
          <w:rStyle w:val="11"/>
          <w:rFonts w:hint="eastAsia" w:eastAsia="仿宋_GB2312" w:cs="Times New Roman"/>
          <w:b w:val="0"/>
          <w:sz w:val="32"/>
          <w:szCs w:val="32"/>
          <w:lang w:val="en-US"/>
        </w:rPr>
        <w:t>要求</w:t>
      </w:r>
      <w:r>
        <w:rPr>
          <w:rStyle w:val="11"/>
          <w:rFonts w:hint="default" w:ascii="Times New Roman" w:hAnsi="Times New Roman" w:eastAsia="仿宋_GB2312" w:cs="Times New Roman"/>
          <w:b w:val="0"/>
          <w:sz w:val="32"/>
          <w:szCs w:val="32"/>
        </w:rPr>
        <w:t>。</w:t>
      </w:r>
    </w:p>
    <w:p w14:paraId="20512B88">
      <w:pPr>
        <w:spacing w:line="360" w:lineRule="auto"/>
        <w:ind w:firstLine="640" w:firstLineChars="200"/>
        <w:rPr>
          <w:rStyle w:val="11"/>
          <w:rFonts w:hint="default" w:ascii="Times New Roman" w:hAnsi="Times New Roman" w:eastAsia="仿宋_GB2312" w:cs="Times New Roman"/>
          <w:b w:val="0"/>
          <w:kern w:val="2"/>
          <w:sz w:val="32"/>
          <w:szCs w:val="32"/>
          <w:lang w:val="en-US" w:eastAsia="zh-CN" w:bidi="ar-SA"/>
        </w:rPr>
      </w:pPr>
      <w:r>
        <w:rPr>
          <w:rStyle w:val="11"/>
          <w:rFonts w:hint="eastAsia" w:ascii="Times New Roman" w:hAnsi="Times New Roman" w:eastAsia="仿宋_GB2312" w:cs="Times New Roman"/>
          <w:b w:val="0"/>
          <w:kern w:val="2"/>
          <w:sz w:val="32"/>
          <w:szCs w:val="32"/>
          <w:lang w:val="en-US" w:eastAsia="zh-CN" w:bidi="ar-SA"/>
        </w:rPr>
        <w:t>（二）</w:t>
      </w:r>
      <w:r>
        <w:rPr>
          <w:rStyle w:val="11"/>
          <w:rFonts w:hint="default" w:ascii="Times New Roman" w:hAnsi="Times New Roman" w:eastAsia="仿宋_GB2312" w:cs="Times New Roman"/>
          <w:b w:val="0"/>
          <w:kern w:val="2"/>
          <w:sz w:val="32"/>
          <w:szCs w:val="32"/>
          <w:lang w:val="en-US" w:eastAsia="zh-CN" w:bidi="ar-SA"/>
        </w:rPr>
        <w:t>固体废物贮存（处置）场所的渗滤污水必须处理达到国家和地方规定的排放标准。</w:t>
      </w:r>
    </w:p>
    <w:p w14:paraId="042A1CEF">
      <w:pPr>
        <w:spacing w:line="360" w:lineRule="auto"/>
        <w:ind w:firstLine="640" w:firstLineChars="200"/>
        <w:rPr>
          <w:rStyle w:val="11"/>
          <w:rFonts w:hint="default" w:ascii="Times New Roman" w:hAnsi="Times New Roman" w:eastAsia="仿宋_GB2312" w:cs="Times New Roman"/>
          <w:b w:val="0"/>
          <w:kern w:val="2"/>
          <w:sz w:val="32"/>
          <w:szCs w:val="32"/>
          <w:lang w:val="en-US" w:eastAsia="zh-CN" w:bidi="ar-SA"/>
        </w:rPr>
      </w:pPr>
      <w:r>
        <w:rPr>
          <w:rStyle w:val="11"/>
          <w:rFonts w:hint="eastAsia" w:ascii="Times New Roman" w:hAnsi="Times New Roman" w:eastAsia="仿宋_GB2312" w:cs="Times New Roman"/>
          <w:b w:val="0"/>
          <w:kern w:val="2"/>
          <w:sz w:val="32"/>
          <w:szCs w:val="32"/>
          <w:lang w:val="en-US" w:eastAsia="zh-CN" w:bidi="ar-SA"/>
        </w:rPr>
        <w:t>（三）</w:t>
      </w:r>
      <w:r>
        <w:rPr>
          <w:rStyle w:val="11"/>
          <w:rFonts w:hint="default" w:ascii="Times New Roman" w:hAnsi="Times New Roman" w:eastAsia="仿宋_GB2312" w:cs="Times New Roman"/>
          <w:b w:val="0"/>
          <w:kern w:val="2"/>
          <w:sz w:val="32"/>
          <w:szCs w:val="32"/>
          <w:lang w:val="en-US" w:eastAsia="zh-CN" w:bidi="ar-SA"/>
        </w:rPr>
        <w:t>危险废物填埋场须按规定在其周围设置监测井（孔）监测地下水的水质变化。其他固体废物贮存（处置）场所有可能对地下水造成污染的，应按环境影响评价文件的批复要求设置地下水监测井（孔），监测井（孔）的设置与监测应符合《地下水环境监测技术规范》（HJ/T164-20</w:t>
      </w:r>
      <w:r>
        <w:rPr>
          <w:rStyle w:val="11"/>
          <w:rFonts w:hint="eastAsia" w:ascii="Times New Roman" w:hAnsi="Times New Roman" w:eastAsia="仿宋_GB2312" w:cs="Times New Roman"/>
          <w:b w:val="0"/>
          <w:kern w:val="2"/>
          <w:sz w:val="32"/>
          <w:szCs w:val="32"/>
          <w:lang w:val="en-US" w:eastAsia="zh-CN" w:bidi="ar-SA"/>
        </w:rPr>
        <w:t>20</w:t>
      </w:r>
      <w:r>
        <w:rPr>
          <w:rStyle w:val="11"/>
          <w:rFonts w:hint="default" w:ascii="Times New Roman" w:hAnsi="Times New Roman" w:eastAsia="仿宋_GB2312" w:cs="Times New Roman"/>
          <w:b w:val="0"/>
          <w:kern w:val="2"/>
          <w:sz w:val="32"/>
          <w:szCs w:val="32"/>
          <w:lang w:val="en-US" w:eastAsia="zh-CN" w:bidi="ar-SA"/>
        </w:rPr>
        <w:t>）。</w:t>
      </w:r>
    </w:p>
    <w:p w14:paraId="69602817">
      <w:pPr>
        <w:spacing w:line="360" w:lineRule="auto"/>
        <w:ind w:firstLine="640" w:firstLineChars="200"/>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b w:val="0"/>
          <w:kern w:val="2"/>
          <w:sz w:val="32"/>
          <w:szCs w:val="32"/>
          <w:lang w:val="en-US" w:eastAsia="zh-CN" w:bidi="ar-SA"/>
        </w:rPr>
        <w:t>（四）</w:t>
      </w:r>
      <w:r>
        <w:rPr>
          <w:rStyle w:val="11"/>
          <w:rFonts w:hint="default" w:ascii="Times New Roman" w:hAnsi="Times New Roman" w:eastAsia="仿宋_GB2312" w:cs="Times New Roman"/>
          <w:b w:val="0"/>
          <w:kern w:val="2"/>
          <w:sz w:val="32"/>
          <w:szCs w:val="32"/>
          <w:lang w:val="en-US" w:eastAsia="zh-CN" w:bidi="ar-SA"/>
        </w:rPr>
        <w:t>在固</w:t>
      </w:r>
      <w:r>
        <w:rPr>
          <w:rStyle w:val="11"/>
          <w:rFonts w:hint="default" w:ascii="Times New Roman" w:hAnsi="Times New Roman" w:eastAsia="仿宋_GB2312" w:cs="Times New Roman"/>
          <w:kern w:val="2"/>
          <w:sz w:val="32"/>
          <w:szCs w:val="32"/>
          <w:lang w:val="en-US" w:eastAsia="zh-CN" w:bidi="ar-SA"/>
        </w:rPr>
        <w:t>体废物贮存</w:t>
      </w:r>
      <w:r>
        <w:rPr>
          <w:rStyle w:val="11"/>
          <w:rFonts w:hint="default" w:ascii="Times New Roman" w:hAnsi="Times New Roman" w:eastAsia="仿宋_GB2312" w:cs="Times New Roman"/>
          <w:b w:val="0"/>
          <w:kern w:val="2"/>
          <w:sz w:val="32"/>
          <w:szCs w:val="32"/>
          <w:lang w:val="en-US" w:eastAsia="zh-CN" w:bidi="ar-SA"/>
        </w:rPr>
        <w:t>（处置）场所</w:t>
      </w:r>
      <w:r>
        <w:rPr>
          <w:rStyle w:val="11"/>
          <w:rFonts w:hint="default" w:ascii="Times New Roman" w:hAnsi="Times New Roman" w:eastAsia="仿宋_GB2312" w:cs="Times New Roman"/>
          <w:kern w:val="2"/>
          <w:sz w:val="32"/>
          <w:szCs w:val="32"/>
          <w:lang w:val="en-US" w:eastAsia="zh-CN" w:bidi="ar-SA"/>
        </w:rPr>
        <w:t>设立环境保护图形标志牌</w:t>
      </w:r>
      <w:r>
        <w:rPr>
          <w:rStyle w:val="11"/>
          <w:rFonts w:hint="eastAsia" w:ascii="Times New Roman" w:hAnsi="Times New Roman" w:eastAsia="仿宋_GB2312" w:cs="Times New Roman"/>
          <w:kern w:val="2"/>
          <w:sz w:val="32"/>
          <w:szCs w:val="32"/>
          <w:lang w:val="en-US" w:eastAsia="zh-CN" w:bidi="ar-SA"/>
        </w:rPr>
        <w:t>。</w:t>
      </w:r>
    </w:p>
    <w:p w14:paraId="1AAB7E4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1"/>
          <w:rFonts w:hint="default" w:ascii="黑体" w:hAnsi="黑体" w:eastAsia="黑体" w:cs="黑体"/>
          <w:b w:val="0"/>
          <w:bCs/>
          <w:kern w:val="2"/>
          <w:sz w:val="32"/>
          <w:szCs w:val="32"/>
          <w:lang w:val="en-US" w:eastAsia="zh-CN" w:bidi="ar-SA"/>
        </w:rPr>
      </w:pPr>
      <w:bookmarkStart w:id="0" w:name="_Toc92189831"/>
      <w:r>
        <w:rPr>
          <w:rStyle w:val="11"/>
          <w:rFonts w:hint="eastAsia" w:ascii="黑体" w:hAnsi="黑体" w:eastAsia="黑体" w:cs="黑体"/>
          <w:b w:val="0"/>
          <w:bCs/>
          <w:kern w:val="2"/>
          <w:sz w:val="32"/>
          <w:szCs w:val="32"/>
          <w:lang w:val="en-US" w:eastAsia="zh-CN" w:bidi="ar-SA"/>
        </w:rPr>
        <w:t>五</w:t>
      </w:r>
      <w:r>
        <w:rPr>
          <w:rStyle w:val="11"/>
          <w:rFonts w:hint="default" w:ascii="黑体" w:hAnsi="黑体" w:eastAsia="黑体" w:cs="黑体"/>
          <w:b w:val="0"/>
          <w:bCs/>
          <w:kern w:val="2"/>
          <w:sz w:val="32"/>
          <w:szCs w:val="32"/>
          <w:lang w:val="en-US" w:eastAsia="zh-CN" w:bidi="ar-SA"/>
        </w:rPr>
        <w:t>、环境保护图形标志牌设置规范</w:t>
      </w:r>
      <w:bookmarkEnd w:id="0"/>
    </w:p>
    <w:p w14:paraId="2283ECA1">
      <w:pPr>
        <w:spacing w:line="360" w:lineRule="auto"/>
        <w:ind w:firstLine="640" w:firstLineChars="200"/>
        <w:rPr>
          <w:rStyle w:val="11"/>
          <w:rFonts w:hint="default" w:ascii="Times New Roman" w:hAnsi="Times New Roman" w:eastAsia="仿宋_GB2312" w:cs="Times New Roman"/>
          <w:b w:val="0"/>
          <w:bCs/>
          <w:kern w:val="2"/>
          <w:sz w:val="32"/>
          <w:szCs w:val="32"/>
          <w:lang w:val="en-US" w:eastAsia="zh-CN" w:bidi="ar-SA"/>
        </w:rPr>
      </w:pPr>
      <w:r>
        <w:rPr>
          <w:rStyle w:val="11"/>
          <w:rFonts w:hint="default" w:ascii="Times New Roman" w:hAnsi="Times New Roman" w:eastAsia="仿宋_GB2312" w:cs="Times New Roman"/>
          <w:b w:val="0"/>
          <w:kern w:val="2"/>
          <w:sz w:val="32"/>
          <w:szCs w:val="32"/>
          <w:lang w:val="en-US" w:eastAsia="zh-CN" w:bidi="ar-SA"/>
        </w:rPr>
        <w:t>环境保护图形标志牌应设置在距排污口（源）及固体废物贮存（处置）场所或采样点较近且醒目处，并能长久保留。</w:t>
      </w:r>
    </w:p>
    <w:p w14:paraId="13682B7F">
      <w:pPr>
        <w:numPr>
          <w:ilvl w:val="-1"/>
          <w:numId w:val="0"/>
        </w:numPr>
        <w:spacing w:line="360" w:lineRule="auto"/>
        <w:ind w:left="560" w:firstLine="0"/>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kern w:val="2"/>
          <w:sz w:val="32"/>
          <w:szCs w:val="32"/>
          <w:lang w:val="en-US" w:eastAsia="zh-CN" w:bidi="ar-SA"/>
        </w:rPr>
        <w:t>（一）</w:t>
      </w:r>
      <w:r>
        <w:rPr>
          <w:rStyle w:val="11"/>
          <w:rFonts w:hint="default" w:ascii="Times New Roman" w:hAnsi="Times New Roman" w:eastAsia="仿宋_GB2312" w:cs="Times New Roman"/>
          <w:kern w:val="2"/>
          <w:sz w:val="32"/>
          <w:szCs w:val="32"/>
          <w:lang w:val="en-US" w:eastAsia="zh-CN" w:bidi="ar-SA"/>
        </w:rPr>
        <w:t>污水标志牌设置在污水排放口采样池侧；</w:t>
      </w:r>
    </w:p>
    <w:p w14:paraId="121B2B8B">
      <w:pPr>
        <w:numPr>
          <w:ilvl w:val="-1"/>
          <w:numId w:val="0"/>
        </w:numPr>
        <w:spacing w:line="360" w:lineRule="auto"/>
        <w:ind w:left="560" w:firstLine="0"/>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kern w:val="2"/>
          <w:sz w:val="32"/>
          <w:szCs w:val="32"/>
          <w:lang w:val="en-US" w:eastAsia="zh-CN" w:bidi="ar-SA"/>
        </w:rPr>
        <w:t>（二）</w:t>
      </w:r>
      <w:r>
        <w:rPr>
          <w:rStyle w:val="11"/>
          <w:rFonts w:hint="default" w:ascii="Times New Roman" w:hAnsi="Times New Roman" w:eastAsia="仿宋_GB2312" w:cs="Times New Roman"/>
          <w:kern w:val="2"/>
          <w:sz w:val="32"/>
          <w:szCs w:val="32"/>
          <w:lang w:val="en-US" w:eastAsia="zh-CN" w:bidi="ar-SA"/>
        </w:rPr>
        <w:t>废气标志牌安装在排气筒（烟囱）监测采样口侧；</w:t>
      </w:r>
    </w:p>
    <w:p w14:paraId="2FBA5093">
      <w:pPr>
        <w:numPr>
          <w:ilvl w:val="-1"/>
          <w:numId w:val="0"/>
        </w:numPr>
        <w:spacing w:line="360" w:lineRule="auto"/>
        <w:ind w:left="560" w:firstLine="0"/>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kern w:val="2"/>
          <w:sz w:val="32"/>
          <w:szCs w:val="32"/>
          <w:lang w:val="en-US" w:eastAsia="zh-CN" w:bidi="ar-SA"/>
        </w:rPr>
        <w:t>（三）</w:t>
      </w:r>
      <w:r>
        <w:rPr>
          <w:rStyle w:val="11"/>
          <w:rFonts w:hint="default" w:ascii="Times New Roman" w:hAnsi="Times New Roman" w:eastAsia="仿宋_GB2312" w:cs="Times New Roman"/>
          <w:kern w:val="2"/>
          <w:sz w:val="32"/>
          <w:szCs w:val="32"/>
          <w:lang w:val="en-US" w:eastAsia="zh-CN" w:bidi="ar-SA"/>
        </w:rPr>
        <w:t>固体废物贮存</w:t>
      </w:r>
      <w:r>
        <w:rPr>
          <w:rStyle w:val="11"/>
          <w:rFonts w:hint="default" w:ascii="Times New Roman" w:hAnsi="Times New Roman" w:eastAsia="仿宋_GB2312" w:cs="Times New Roman"/>
          <w:b w:val="0"/>
          <w:kern w:val="2"/>
          <w:sz w:val="32"/>
          <w:szCs w:val="32"/>
          <w:lang w:val="en-US" w:eastAsia="zh-CN" w:bidi="ar-SA"/>
        </w:rPr>
        <w:t>（处置）场所</w:t>
      </w:r>
      <w:r>
        <w:rPr>
          <w:rStyle w:val="11"/>
          <w:rFonts w:hint="default" w:ascii="Times New Roman" w:hAnsi="Times New Roman" w:eastAsia="仿宋_GB2312" w:cs="Times New Roman"/>
          <w:kern w:val="2"/>
          <w:sz w:val="32"/>
          <w:szCs w:val="32"/>
          <w:lang w:val="en-US" w:eastAsia="zh-CN" w:bidi="ar-SA"/>
        </w:rPr>
        <w:t>的标志牌设置在场地的醒目处；</w:t>
      </w:r>
    </w:p>
    <w:p w14:paraId="4BF84F07">
      <w:pPr>
        <w:numPr>
          <w:ilvl w:val="-1"/>
          <w:numId w:val="0"/>
        </w:numPr>
        <w:spacing w:line="360" w:lineRule="auto"/>
        <w:ind w:left="0" w:firstLine="640" w:firstLineChars="200"/>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kern w:val="2"/>
          <w:sz w:val="32"/>
          <w:szCs w:val="32"/>
          <w:lang w:val="en-US" w:eastAsia="zh-CN" w:bidi="ar-SA"/>
        </w:rPr>
        <w:t>（四）</w:t>
      </w:r>
      <w:r>
        <w:rPr>
          <w:rStyle w:val="11"/>
          <w:rFonts w:hint="default" w:ascii="Times New Roman" w:hAnsi="Times New Roman" w:eastAsia="仿宋_GB2312" w:cs="Times New Roman"/>
          <w:kern w:val="2"/>
          <w:sz w:val="32"/>
          <w:szCs w:val="32"/>
          <w:lang w:val="en-US" w:eastAsia="zh-CN" w:bidi="ar-SA"/>
        </w:rPr>
        <w:t>在噪声排放源对边界影响最大处按《工业企业厂界环境噪声排放标准》（GB12348-2008）的规定，设置环境噪声监测点，并在该处附近醒目处设置</w:t>
      </w:r>
      <w:r>
        <w:rPr>
          <w:rStyle w:val="11"/>
          <w:rFonts w:hint="eastAsia" w:ascii="Times New Roman" w:hAnsi="Times New Roman" w:eastAsia="仿宋_GB2312" w:cs="Times New Roman"/>
          <w:kern w:val="2"/>
          <w:sz w:val="32"/>
          <w:szCs w:val="32"/>
          <w:lang w:val="en-US" w:eastAsia="zh-CN" w:bidi="ar-SA"/>
        </w:rPr>
        <w:t>噪声</w:t>
      </w:r>
      <w:r>
        <w:rPr>
          <w:rStyle w:val="11"/>
          <w:rFonts w:hint="default" w:ascii="Times New Roman" w:hAnsi="Times New Roman" w:eastAsia="仿宋_GB2312" w:cs="Times New Roman"/>
          <w:kern w:val="2"/>
          <w:sz w:val="32"/>
          <w:szCs w:val="32"/>
          <w:lang w:val="en-US" w:eastAsia="zh-CN" w:bidi="ar-SA"/>
        </w:rPr>
        <w:t>标志牌。边界上有若干个在声环境中相对独立的固定噪声污染源，应分别设置环境噪声监测点和</w:t>
      </w:r>
      <w:r>
        <w:rPr>
          <w:rStyle w:val="11"/>
          <w:rFonts w:hint="eastAsia" w:ascii="Times New Roman" w:hAnsi="Times New Roman" w:eastAsia="仿宋_GB2312" w:cs="Times New Roman"/>
          <w:kern w:val="2"/>
          <w:sz w:val="32"/>
          <w:szCs w:val="32"/>
          <w:lang w:val="en-US" w:eastAsia="zh-CN" w:bidi="ar-SA"/>
        </w:rPr>
        <w:t>噪声</w:t>
      </w:r>
      <w:r>
        <w:rPr>
          <w:rStyle w:val="11"/>
          <w:rFonts w:hint="default" w:ascii="Times New Roman" w:hAnsi="Times New Roman" w:eastAsia="仿宋_GB2312" w:cs="Times New Roman"/>
          <w:kern w:val="2"/>
          <w:sz w:val="32"/>
          <w:szCs w:val="32"/>
          <w:lang w:val="en-US" w:eastAsia="zh-CN" w:bidi="ar-SA"/>
        </w:rPr>
        <w:t>标志牌；</w:t>
      </w:r>
    </w:p>
    <w:p w14:paraId="68FB7481">
      <w:pPr>
        <w:numPr>
          <w:ilvl w:val="-1"/>
          <w:numId w:val="0"/>
        </w:numPr>
        <w:spacing w:line="360" w:lineRule="auto"/>
        <w:ind w:left="0" w:firstLine="640" w:firstLineChars="200"/>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kern w:val="2"/>
          <w:sz w:val="32"/>
          <w:szCs w:val="32"/>
          <w:lang w:val="en-US" w:eastAsia="zh-CN" w:bidi="ar-SA"/>
        </w:rPr>
        <w:t>（五）</w:t>
      </w:r>
      <w:r>
        <w:rPr>
          <w:rStyle w:val="11"/>
          <w:rFonts w:hint="default" w:ascii="Times New Roman" w:hAnsi="Times New Roman" w:eastAsia="仿宋_GB2312" w:cs="Times New Roman"/>
          <w:kern w:val="2"/>
          <w:sz w:val="32"/>
          <w:szCs w:val="32"/>
          <w:lang w:val="en-US" w:eastAsia="zh-CN" w:bidi="ar-SA"/>
        </w:rPr>
        <w:t>环境保护图形标志牌设置高度一般为：标志牌上缘距离地面2米。</w:t>
      </w:r>
      <w:bookmarkStart w:id="1" w:name="_Toc92189832"/>
    </w:p>
    <w:p w14:paraId="3BC5576C">
      <w:pPr>
        <w:numPr>
          <w:ilvl w:val="-1"/>
          <w:numId w:val="0"/>
        </w:numPr>
        <w:spacing w:line="360" w:lineRule="auto"/>
        <w:ind w:left="0" w:firstLine="640" w:firstLineChars="200"/>
        <w:rPr>
          <w:rStyle w:val="11"/>
          <w:rFonts w:hint="default" w:ascii="Times New Roman" w:hAnsi="Times New Roman" w:eastAsia="仿宋_GB2312" w:cs="Times New Roman"/>
          <w:kern w:val="2"/>
          <w:sz w:val="32"/>
          <w:szCs w:val="32"/>
          <w:lang w:val="en-US" w:eastAsia="zh-CN" w:bidi="ar-SA"/>
        </w:rPr>
      </w:pPr>
      <w:r>
        <w:rPr>
          <w:rStyle w:val="11"/>
          <w:rFonts w:hint="default" w:ascii="Times New Roman" w:hAnsi="Times New Roman" w:eastAsia="仿宋_GB2312" w:cs="Times New Roman"/>
          <w:kern w:val="2"/>
          <w:sz w:val="32"/>
          <w:szCs w:val="32"/>
          <w:lang w:val="en-US" w:eastAsia="zh-CN" w:bidi="ar-SA"/>
        </w:rPr>
        <w:t>（六）一般性污染物排污口（源）或固体废物贮存（处置）场所，设置提示性环境保护图形标志牌。排放剧毒、致癌物及对人体有严重危害物质的排污口（源）或危险废物贮存、处置场所，设置警告性环境保护图形标志牌。</w:t>
      </w:r>
    </w:p>
    <w:p w14:paraId="447B8CA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1"/>
          <w:rFonts w:hint="default" w:ascii="黑体" w:hAnsi="黑体" w:eastAsia="黑体" w:cs="黑体"/>
          <w:b w:val="0"/>
          <w:bCs/>
          <w:kern w:val="2"/>
          <w:sz w:val="32"/>
          <w:szCs w:val="32"/>
          <w:lang w:val="en-US" w:eastAsia="zh-CN" w:bidi="ar-SA"/>
        </w:rPr>
      </w:pPr>
      <w:r>
        <w:rPr>
          <w:rStyle w:val="11"/>
          <w:rFonts w:hint="eastAsia" w:ascii="黑体" w:hAnsi="黑体" w:eastAsia="黑体" w:cs="黑体"/>
          <w:b w:val="0"/>
          <w:bCs/>
          <w:kern w:val="2"/>
          <w:sz w:val="32"/>
          <w:szCs w:val="32"/>
          <w:lang w:val="en-US" w:eastAsia="zh-CN" w:bidi="ar-SA"/>
        </w:rPr>
        <w:t>六</w:t>
      </w:r>
      <w:r>
        <w:rPr>
          <w:rStyle w:val="11"/>
          <w:rFonts w:hint="default" w:ascii="黑体" w:hAnsi="黑体" w:eastAsia="黑体" w:cs="黑体"/>
          <w:b w:val="0"/>
          <w:bCs/>
          <w:kern w:val="2"/>
          <w:sz w:val="32"/>
          <w:szCs w:val="32"/>
          <w:lang w:val="en-US" w:eastAsia="zh-CN" w:bidi="ar-SA"/>
        </w:rPr>
        <w:t>、环境保护图形标志牌制作要求</w:t>
      </w:r>
      <w:bookmarkEnd w:id="1"/>
    </w:p>
    <w:p w14:paraId="62F45289">
      <w:pPr>
        <w:spacing w:line="360" w:lineRule="auto"/>
        <w:ind w:firstLine="570"/>
        <w:rPr>
          <w:rStyle w:val="11"/>
          <w:rFonts w:hint="default" w:ascii="Times New Roman" w:hAnsi="Times New Roman" w:eastAsia="仿宋_GB2312" w:cs="Times New Roman"/>
          <w:kern w:val="2"/>
          <w:sz w:val="32"/>
          <w:szCs w:val="32"/>
          <w:lang w:val="en-US" w:eastAsia="zh-CN" w:bidi="ar-SA"/>
        </w:rPr>
      </w:pPr>
      <w:r>
        <w:rPr>
          <w:rStyle w:val="11"/>
          <w:rFonts w:hint="default" w:ascii="Times New Roman" w:hAnsi="Times New Roman" w:eastAsia="仿宋_GB2312" w:cs="Times New Roman"/>
          <w:kern w:val="2"/>
          <w:sz w:val="32"/>
          <w:szCs w:val="32"/>
          <w:lang w:val="en-US" w:eastAsia="zh-CN" w:bidi="ar-SA"/>
        </w:rPr>
        <w:t>根据原国家环</w:t>
      </w:r>
      <w:r>
        <w:rPr>
          <w:rStyle w:val="11"/>
          <w:rFonts w:hint="eastAsia" w:ascii="Times New Roman" w:hAnsi="Times New Roman" w:eastAsia="仿宋_GB2312" w:cs="Times New Roman"/>
          <w:kern w:val="2"/>
          <w:sz w:val="32"/>
          <w:szCs w:val="32"/>
          <w:lang w:val="en-US" w:eastAsia="zh-CN" w:bidi="ar-SA"/>
        </w:rPr>
        <w:t>境</w:t>
      </w:r>
      <w:r>
        <w:rPr>
          <w:rStyle w:val="11"/>
          <w:rFonts w:hint="default" w:ascii="Times New Roman" w:hAnsi="Times New Roman" w:eastAsia="仿宋_GB2312" w:cs="Times New Roman"/>
          <w:kern w:val="2"/>
          <w:sz w:val="32"/>
          <w:szCs w:val="32"/>
          <w:lang w:val="en-US" w:eastAsia="zh-CN" w:bidi="ar-SA"/>
        </w:rPr>
        <w:t>保</w:t>
      </w:r>
      <w:r>
        <w:rPr>
          <w:rStyle w:val="11"/>
          <w:rFonts w:hint="eastAsia" w:ascii="Times New Roman" w:hAnsi="Times New Roman" w:eastAsia="仿宋_GB2312" w:cs="Times New Roman"/>
          <w:kern w:val="2"/>
          <w:sz w:val="32"/>
          <w:szCs w:val="32"/>
          <w:lang w:val="en-US" w:eastAsia="zh-CN" w:bidi="ar-SA"/>
        </w:rPr>
        <w:t>护</w:t>
      </w:r>
      <w:r>
        <w:rPr>
          <w:rStyle w:val="11"/>
          <w:rFonts w:hint="default" w:ascii="Times New Roman" w:hAnsi="Times New Roman" w:eastAsia="仿宋_GB2312" w:cs="Times New Roman"/>
          <w:kern w:val="2"/>
          <w:sz w:val="32"/>
          <w:szCs w:val="32"/>
          <w:lang w:val="en-US" w:eastAsia="zh-CN" w:bidi="ar-SA"/>
        </w:rPr>
        <w:t>总局《</w:t>
      </w:r>
      <w:r>
        <w:rPr>
          <w:rStyle w:val="11"/>
          <w:rFonts w:hint="default" w:ascii="Times New Roman" w:hAnsi="Times New Roman" w:eastAsia="仿宋_GB2312" w:cs="Times New Roman"/>
          <w:color w:val="181818"/>
          <w:kern w:val="2"/>
          <w:sz w:val="32"/>
          <w:szCs w:val="32"/>
          <w:lang w:val="en-US" w:eastAsia="zh-CN" w:bidi="ar-SA"/>
        </w:rPr>
        <w:t>关于印发排放口标志牌技术规格的通知</w:t>
      </w:r>
      <w:r>
        <w:rPr>
          <w:rStyle w:val="11"/>
          <w:rFonts w:hint="default" w:ascii="Times New Roman" w:hAnsi="Times New Roman" w:eastAsia="仿宋_GB2312" w:cs="Times New Roman"/>
          <w:kern w:val="2"/>
          <w:sz w:val="32"/>
          <w:szCs w:val="32"/>
          <w:lang w:val="en-US" w:eastAsia="zh-CN" w:bidi="ar-SA"/>
        </w:rPr>
        <w:t>》（</w:t>
      </w:r>
      <w:r>
        <w:rPr>
          <w:rStyle w:val="11"/>
          <w:rFonts w:hint="default" w:ascii="Times New Roman" w:hAnsi="Times New Roman" w:eastAsia="仿宋_GB2312" w:cs="Times New Roman"/>
          <w:color w:val="181818"/>
          <w:kern w:val="2"/>
          <w:sz w:val="32"/>
          <w:szCs w:val="32"/>
          <w:lang w:val="en-US" w:eastAsia="zh-CN" w:bidi="ar-SA"/>
        </w:rPr>
        <w:t>环办〔2003〕95号）</w:t>
      </w:r>
      <w:r>
        <w:rPr>
          <w:rStyle w:val="11"/>
          <w:rFonts w:hint="default" w:ascii="Times New Roman" w:hAnsi="Times New Roman" w:eastAsia="仿宋_GB2312" w:cs="Times New Roman"/>
          <w:kern w:val="2"/>
          <w:sz w:val="32"/>
          <w:szCs w:val="32"/>
          <w:lang w:val="en-US" w:eastAsia="zh-CN" w:bidi="ar-SA"/>
        </w:rPr>
        <w:t>的要求自行</w:t>
      </w:r>
      <w:r>
        <w:rPr>
          <w:rStyle w:val="11"/>
          <w:rFonts w:hint="eastAsia" w:ascii="Times New Roman" w:hAnsi="Times New Roman" w:eastAsia="仿宋_GB2312" w:cs="Times New Roman"/>
          <w:kern w:val="2"/>
          <w:sz w:val="32"/>
          <w:szCs w:val="32"/>
          <w:lang w:val="en-US" w:eastAsia="zh-CN" w:bidi="ar-SA"/>
        </w:rPr>
        <w:t>制作</w:t>
      </w:r>
      <w:r>
        <w:rPr>
          <w:rStyle w:val="11"/>
          <w:rFonts w:hint="default" w:ascii="Times New Roman" w:hAnsi="Times New Roman" w:eastAsia="仿宋_GB2312" w:cs="Times New Roman"/>
          <w:kern w:val="2"/>
          <w:sz w:val="32"/>
          <w:szCs w:val="32"/>
          <w:lang w:val="en-US" w:eastAsia="zh-CN" w:bidi="ar-SA"/>
        </w:rPr>
        <w:t>标志牌。</w:t>
      </w:r>
    </w:p>
    <w:p w14:paraId="7733A385">
      <w:pPr>
        <w:spacing w:line="360" w:lineRule="auto"/>
        <w:ind w:firstLine="640" w:firstLineChars="200"/>
        <w:rPr>
          <w:rStyle w:val="11"/>
          <w:rFonts w:hint="default" w:ascii="Times New Roman" w:hAnsi="Times New Roman" w:eastAsia="仿宋_GB2312" w:cs="Times New Roman"/>
          <w:kern w:val="2"/>
          <w:sz w:val="32"/>
          <w:szCs w:val="32"/>
          <w:lang w:val="en-US" w:eastAsia="zh-CN" w:bidi="ar-SA"/>
        </w:rPr>
      </w:pPr>
      <w:r>
        <w:rPr>
          <w:rStyle w:val="11"/>
          <w:rFonts w:hint="default" w:ascii="Times New Roman" w:hAnsi="Times New Roman" w:eastAsia="仿宋_GB2312" w:cs="Times New Roman"/>
          <w:kern w:val="2"/>
          <w:sz w:val="32"/>
          <w:szCs w:val="32"/>
          <w:lang w:val="en-US" w:eastAsia="zh-CN" w:bidi="ar-SA"/>
        </w:rPr>
        <w:t>环境保护图形标志牌制作规格：</w:t>
      </w:r>
    </w:p>
    <w:p w14:paraId="533A188F">
      <w:pPr>
        <w:keepNext w:val="0"/>
        <w:keepLines w:val="0"/>
        <w:pageBreakBefore w:val="0"/>
        <w:widowControl w:val="0"/>
        <w:kinsoku/>
        <w:wordWrap/>
        <w:overflowPunct/>
        <w:topLinePunct w:val="0"/>
        <w:autoSpaceDE/>
        <w:autoSpaceDN/>
        <w:adjustRightInd/>
        <w:snapToGrid/>
        <w:spacing w:line="360" w:lineRule="auto"/>
        <w:ind w:firstLine="640" w:firstLineChars="200"/>
        <w:textAlignment w:val="auto"/>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kern w:val="2"/>
          <w:sz w:val="32"/>
          <w:szCs w:val="32"/>
          <w:lang w:val="en-US" w:eastAsia="zh-CN" w:bidi="ar-SA"/>
        </w:rPr>
        <w:t>（一）</w:t>
      </w:r>
      <w:r>
        <w:rPr>
          <w:rStyle w:val="11"/>
          <w:rFonts w:hint="default" w:ascii="Times New Roman" w:hAnsi="Times New Roman" w:eastAsia="仿宋_GB2312" w:cs="Times New Roman"/>
          <w:kern w:val="2"/>
          <w:sz w:val="32"/>
          <w:szCs w:val="32"/>
          <w:lang w:val="en-US" w:eastAsia="zh-CN" w:bidi="ar-SA"/>
        </w:rPr>
        <w:t>参考《环境保护图形标志－排放口（源）》（GB 1556.1－1995）、《环境保护图形标志－固体废物贮存（处置）场》（GB 15562.2－1995）及修改单和《危险废物识别标志设置技术规范（HJ 1276-2022）》。</w:t>
      </w:r>
    </w:p>
    <w:p w14:paraId="078CB272">
      <w:pPr>
        <w:keepNext w:val="0"/>
        <w:keepLines w:val="0"/>
        <w:pageBreakBefore w:val="0"/>
        <w:widowControl w:val="0"/>
        <w:kinsoku/>
        <w:wordWrap/>
        <w:overflowPunct/>
        <w:topLinePunct w:val="0"/>
        <w:autoSpaceDE/>
        <w:autoSpaceDN/>
        <w:adjustRightInd/>
        <w:snapToGrid/>
        <w:spacing w:line="360" w:lineRule="auto"/>
        <w:ind w:firstLine="640" w:firstLineChars="200"/>
        <w:textAlignment w:val="auto"/>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kern w:val="2"/>
          <w:sz w:val="32"/>
          <w:szCs w:val="32"/>
          <w:lang w:val="en-US" w:eastAsia="zh-CN" w:bidi="ar-SA"/>
        </w:rPr>
        <w:t>（二）</w:t>
      </w:r>
      <w:r>
        <w:rPr>
          <w:rStyle w:val="11"/>
          <w:rFonts w:hint="default" w:ascii="Times New Roman" w:hAnsi="Times New Roman" w:eastAsia="仿宋_GB2312" w:cs="Times New Roman"/>
          <w:kern w:val="2"/>
          <w:sz w:val="32"/>
          <w:szCs w:val="32"/>
          <w:lang w:val="en-US" w:eastAsia="zh-CN" w:bidi="ar-SA"/>
        </w:rPr>
        <w:t>牌底用</w:t>
      </w:r>
      <w:r>
        <w:rPr>
          <w:rStyle w:val="11"/>
          <w:rFonts w:hint="default" w:ascii="Times New Roman" w:hAnsi="Times New Roman" w:eastAsia="仿宋_GB2312" w:cs="Times New Roman"/>
          <w:color w:val="181818"/>
          <w:kern w:val="2"/>
          <w:sz w:val="32"/>
          <w:szCs w:val="32"/>
          <w:lang w:val="en-US" w:eastAsia="zh-CN" w:bidi="ar-SA"/>
        </w:rPr>
        <w:t>1.5</w:t>
      </w:r>
      <w:r>
        <w:rPr>
          <w:rStyle w:val="11"/>
          <w:rFonts w:hint="eastAsia" w:ascii="Times New Roman" w:hAnsi="Times New Roman" w:eastAsia="仿宋_GB2312" w:cs="Times New Roman"/>
          <w:color w:val="181818"/>
          <w:kern w:val="2"/>
          <w:sz w:val="32"/>
          <w:szCs w:val="32"/>
          <w:lang w:val="en-US" w:eastAsia="zh-CN" w:bidi="ar-SA"/>
        </w:rPr>
        <w:t>~</w:t>
      </w:r>
      <w:r>
        <w:rPr>
          <w:rStyle w:val="11"/>
          <w:rFonts w:hint="default" w:ascii="Times New Roman" w:hAnsi="Times New Roman" w:eastAsia="仿宋_GB2312" w:cs="Times New Roman"/>
          <w:color w:val="181818"/>
          <w:kern w:val="2"/>
          <w:sz w:val="32"/>
          <w:szCs w:val="32"/>
          <w:lang w:val="en-US" w:eastAsia="zh-CN" w:bidi="ar-SA"/>
        </w:rPr>
        <w:t>2</w:t>
      </w:r>
      <w:r>
        <w:rPr>
          <w:rStyle w:val="11"/>
          <w:rFonts w:hint="eastAsia" w:ascii="Times New Roman" w:hAnsi="Times New Roman" w:eastAsia="仿宋_GB2312" w:cs="Times New Roman"/>
          <w:color w:val="181818"/>
          <w:kern w:val="2"/>
          <w:sz w:val="32"/>
          <w:szCs w:val="32"/>
          <w:lang w:val="en-US" w:eastAsia="zh-CN" w:bidi="ar-SA"/>
        </w:rPr>
        <w:t>毫米</w:t>
      </w:r>
      <w:r>
        <w:rPr>
          <w:rStyle w:val="11"/>
          <w:rFonts w:hint="default" w:ascii="Times New Roman" w:hAnsi="Times New Roman" w:eastAsia="仿宋_GB2312" w:cs="Times New Roman"/>
          <w:color w:val="181818"/>
          <w:kern w:val="2"/>
          <w:sz w:val="32"/>
          <w:szCs w:val="32"/>
          <w:lang w:val="en-US" w:eastAsia="zh-CN" w:bidi="ar-SA"/>
        </w:rPr>
        <w:t>冷轧钢板</w:t>
      </w:r>
      <w:r>
        <w:rPr>
          <w:rStyle w:val="11"/>
          <w:rFonts w:hint="default" w:ascii="Times New Roman" w:hAnsi="Times New Roman" w:eastAsia="仿宋_GB2312" w:cs="Times New Roman"/>
          <w:kern w:val="2"/>
          <w:sz w:val="32"/>
          <w:szCs w:val="32"/>
          <w:lang w:val="en-US" w:eastAsia="zh-CN" w:bidi="ar-SA"/>
        </w:rPr>
        <w:t>。</w:t>
      </w:r>
    </w:p>
    <w:p w14:paraId="2BCB5B0A">
      <w:pPr>
        <w:keepNext w:val="0"/>
        <w:keepLines w:val="0"/>
        <w:pageBreakBefore w:val="0"/>
        <w:widowControl w:val="0"/>
        <w:kinsoku/>
        <w:wordWrap/>
        <w:overflowPunct/>
        <w:topLinePunct w:val="0"/>
        <w:autoSpaceDE/>
        <w:autoSpaceDN/>
        <w:adjustRightInd/>
        <w:snapToGrid/>
        <w:spacing w:line="360" w:lineRule="auto"/>
        <w:ind w:firstLine="640" w:firstLineChars="200"/>
        <w:textAlignment w:val="auto"/>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kern w:val="2"/>
          <w:sz w:val="32"/>
          <w:szCs w:val="32"/>
          <w:lang w:val="en-US" w:eastAsia="zh-CN" w:bidi="ar-SA"/>
        </w:rPr>
        <w:t>（三）</w:t>
      </w:r>
      <w:r>
        <w:rPr>
          <w:rStyle w:val="11"/>
          <w:rFonts w:hint="default" w:ascii="Times New Roman" w:hAnsi="Times New Roman" w:eastAsia="仿宋_GB2312" w:cs="Times New Roman"/>
          <w:kern w:val="2"/>
          <w:sz w:val="32"/>
          <w:szCs w:val="32"/>
          <w:lang w:val="en-US" w:eastAsia="zh-CN" w:bidi="ar-SA"/>
        </w:rPr>
        <w:t>牌面采用搪瓷</w:t>
      </w:r>
      <w:r>
        <w:rPr>
          <w:rStyle w:val="11"/>
          <w:rFonts w:hint="eastAsia" w:ascii="Times New Roman" w:hAnsi="Times New Roman" w:eastAsia="仿宋_GB2312" w:cs="Times New Roman"/>
          <w:kern w:val="2"/>
          <w:sz w:val="32"/>
          <w:szCs w:val="32"/>
          <w:lang w:val="en-US" w:eastAsia="zh-CN" w:bidi="ar-SA"/>
        </w:rPr>
        <w:t>处理</w:t>
      </w:r>
      <w:r>
        <w:rPr>
          <w:rStyle w:val="11"/>
          <w:rFonts w:hint="default" w:ascii="Times New Roman" w:hAnsi="Times New Roman" w:eastAsia="仿宋_GB2312" w:cs="Times New Roman"/>
          <w:kern w:val="2"/>
          <w:sz w:val="32"/>
          <w:szCs w:val="32"/>
          <w:lang w:val="en-US" w:eastAsia="zh-CN" w:bidi="ar-SA"/>
        </w:rPr>
        <w:t>或者反光贴膜</w:t>
      </w:r>
      <w:r>
        <w:rPr>
          <w:rStyle w:val="11"/>
          <w:rFonts w:hint="eastAsia" w:ascii="Times New Roman" w:hAnsi="Times New Roman" w:eastAsia="仿宋_GB2312" w:cs="Times New Roman"/>
          <w:kern w:val="2"/>
          <w:sz w:val="32"/>
          <w:szCs w:val="32"/>
          <w:lang w:val="en-US" w:eastAsia="zh-CN" w:bidi="ar-SA"/>
        </w:rPr>
        <w:t>，</w:t>
      </w:r>
      <w:r>
        <w:rPr>
          <w:rStyle w:val="11"/>
          <w:rFonts w:hint="default" w:ascii="Times New Roman" w:hAnsi="Times New Roman" w:eastAsia="仿宋_GB2312" w:cs="Times New Roman"/>
          <w:kern w:val="2"/>
          <w:sz w:val="32"/>
          <w:szCs w:val="32"/>
          <w:lang w:val="en-US" w:eastAsia="zh-CN" w:bidi="ar-SA"/>
        </w:rPr>
        <w:t>图形和文字应清晰、完整，保证在足够的观察距离条件下不影响阅读。</w:t>
      </w:r>
    </w:p>
    <w:p w14:paraId="2FA6ABC8">
      <w:pPr>
        <w:keepNext w:val="0"/>
        <w:keepLines w:val="0"/>
        <w:pageBreakBefore w:val="0"/>
        <w:widowControl w:val="0"/>
        <w:kinsoku/>
        <w:wordWrap/>
        <w:overflowPunct/>
        <w:topLinePunct w:val="0"/>
        <w:autoSpaceDE/>
        <w:autoSpaceDN/>
        <w:adjustRightInd/>
        <w:snapToGrid/>
        <w:spacing w:line="360" w:lineRule="auto"/>
        <w:ind w:firstLine="640" w:firstLineChars="200"/>
        <w:textAlignment w:val="auto"/>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kern w:val="2"/>
          <w:sz w:val="32"/>
          <w:szCs w:val="32"/>
          <w:lang w:val="en-US" w:eastAsia="zh-CN" w:bidi="ar-SA"/>
        </w:rPr>
        <w:t>（四）柱式标志牌</w:t>
      </w:r>
      <w:r>
        <w:rPr>
          <w:rStyle w:val="11"/>
          <w:rFonts w:hint="default" w:ascii="Times New Roman" w:hAnsi="Times New Roman" w:eastAsia="仿宋_GB2312" w:cs="Times New Roman"/>
          <w:kern w:val="2"/>
          <w:sz w:val="32"/>
          <w:szCs w:val="32"/>
          <w:lang w:val="en-US" w:eastAsia="zh-CN" w:bidi="ar-SA"/>
        </w:rPr>
        <w:t>立柱采用38×4无缝钢管</w:t>
      </w:r>
      <w:r>
        <w:rPr>
          <w:rStyle w:val="11"/>
          <w:rFonts w:hint="default" w:ascii="Times New Roman" w:hAnsi="Times New Roman" w:eastAsia="仿宋_GB2312" w:cs="Times New Roman"/>
          <w:sz w:val="32"/>
          <w:szCs w:val="32"/>
        </w:rPr>
        <w:t>或其他坚固耐用的材料</w:t>
      </w:r>
      <w:r>
        <w:rPr>
          <w:rStyle w:val="11"/>
          <w:rFonts w:hint="default" w:ascii="Times New Roman" w:hAnsi="Times New Roman" w:eastAsia="仿宋_GB2312" w:cs="Times New Roman"/>
          <w:kern w:val="2"/>
          <w:sz w:val="32"/>
          <w:szCs w:val="32"/>
          <w:lang w:val="en-US" w:eastAsia="zh-CN" w:bidi="ar-SA"/>
        </w:rPr>
        <w:t>。</w:t>
      </w:r>
    </w:p>
    <w:p w14:paraId="18CD3AE8">
      <w:pPr>
        <w:keepNext w:val="0"/>
        <w:keepLines w:val="0"/>
        <w:pageBreakBefore w:val="0"/>
        <w:widowControl w:val="0"/>
        <w:kinsoku/>
        <w:wordWrap/>
        <w:overflowPunct/>
        <w:topLinePunct w:val="0"/>
        <w:autoSpaceDE/>
        <w:autoSpaceDN/>
        <w:adjustRightInd/>
        <w:snapToGrid/>
        <w:spacing w:line="360" w:lineRule="auto"/>
        <w:ind w:firstLine="640" w:firstLineChars="200"/>
        <w:textAlignment w:val="auto"/>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kern w:val="2"/>
          <w:sz w:val="32"/>
          <w:szCs w:val="32"/>
          <w:lang w:val="en-US" w:eastAsia="zh-CN" w:bidi="ar-SA"/>
        </w:rPr>
        <w:t>（五）</w:t>
      </w:r>
      <w:r>
        <w:rPr>
          <w:rStyle w:val="11"/>
          <w:rFonts w:hint="default" w:ascii="Times New Roman" w:hAnsi="Times New Roman" w:eastAsia="仿宋_GB2312" w:cs="Times New Roman"/>
          <w:kern w:val="2"/>
          <w:sz w:val="32"/>
          <w:szCs w:val="32"/>
          <w:lang w:val="en-US" w:eastAsia="zh-CN" w:bidi="ar-SA"/>
        </w:rPr>
        <w:t>标志牌的端面及立柱要经过防腐处理。</w:t>
      </w:r>
    </w:p>
    <w:p w14:paraId="203C96E4">
      <w:pPr>
        <w:keepNext w:val="0"/>
        <w:keepLines w:val="0"/>
        <w:pageBreakBefore w:val="0"/>
        <w:widowControl w:val="0"/>
        <w:kinsoku/>
        <w:wordWrap/>
        <w:overflowPunct/>
        <w:topLinePunct w:val="0"/>
        <w:autoSpaceDE/>
        <w:autoSpaceDN/>
        <w:adjustRightInd/>
        <w:snapToGrid/>
        <w:spacing w:line="360" w:lineRule="auto"/>
        <w:ind w:firstLine="640" w:firstLineChars="200"/>
        <w:textAlignment w:val="auto"/>
        <w:rPr>
          <w:rStyle w:val="11"/>
          <w:rFonts w:hint="default" w:ascii="Times New Roman" w:hAnsi="Times New Roman" w:eastAsia="仿宋_GB2312" w:cs="Times New Roman"/>
          <w:kern w:val="2"/>
          <w:sz w:val="32"/>
          <w:szCs w:val="32"/>
          <w:lang w:val="en-US" w:eastAsia="zh-CN" w:bidi="ar-SA"/>
        </w:rPr>
      </w:pPr>
      <w:r>
        <w:rPr>
          <w:rStyle w:val="11"/>
          <w:rFonts w:hint="eastAsia" w:ascii="Times New Roman" w:hAnsi="Times New Roman" w:eastAsia="仿宋_GB2312" w:cs="Times New Roman"/>
          <w:kern w:val="2"/>
          <w:sz w:val="32"/>
          <w:szCs w:val="32"/>
          <w:lang w:val="en-US" w:eastAsia="zh-CN" w:bidi="ar-SA"/>
        </w:rPr>
        <w:t>（六）</w:t>
      </w:r>
      <w:r>
        <w:rPr>
          <w:rStyle w:val="11"/>
          <w:rFonts w:hint="default" w:ascii="Times New Roman" w:hAnsi="Times New Roman" w:eastAsia="仿宋_GB2312" w:cs="Times New Roman"/>
          <w:kern w:val="2"/>
          <w:sz w:val="32"/>
          <w:szCs w:val="32"/>
          <w:lang w:val="en-US" w:eastAsia="zh-CN" w:bidi="ar-SA"/>
        </w:rPr>
        <w:t>具体的规格颜色如下：</w:t>
      </w:r>
    </w:p>
    <w:tbl>
      <w:tblPr>
        <w:tblStyle w:val="10"/>
        <w:tblW w:w="7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066"/>
        <w:gridCol w:w="1842"/>
        <w:gridCol w:w="1325"/>
        <w:gridCol w:w="1363"/>
      </w:tblGrid>
      <w:tr w14:paraId="22CF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8" w:type="dxa"/>
            <w:gridSpan w:val="2"/>
            <w:shd w:val="clear" w:color="auto" w:fill="auto"/>
            <w:vAlign w:val="center"/>
          </w:tcPr>
          <w:p w14:paraId="3D1C3293">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名称</w:t>
            </w:r>
          </w:p>
        </w:tc>
        <w:tc>
          <w:tcPr>
            <w:tcW w:w="1842" w:type="dxa"/>
            <w:shd w:val="clear" w:color="auto" w:fill="auto"/>
            <w:vAlign w:val="center"/>
          </w:tcPr>
          <w:p w14:paraId="05A5CC62">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规格</w:t>
            </w:r>
          </w:p>
        </w:tc>
        <w:tc>
          <w:tcPr>
            <w:tcW w:w="1325" w:type="dxa"/>
            <w:shd w:val="clear" w:color="auto" w:fill="auto"/>
            <w:vAlign w:val="center"/>
          </w:tcPr>
          <w:p w14:paraId="7486B1CC">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背景颜色</w:t>
            </w:r>
          </w:p>
        </w:tc>
        <w:tc>
          <w:tcPr>
            <w:tcW w:w="1363" w:type="dxa"/>
            <w:shd w:val="clear" w:color="auto" w:fill="auto"/>
            <w:vAlign w:val="center"/>
          </w:tcPr>
          <w:p w14:paraId="73FFCE33">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图形颜色</w:t>
            </w:r>
          </w:p>
        </w:tc>
      </w:tr>
      <w:tr w14:paraId="4DDF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2" w:type="dxa"/>
            <w:vMerge w:val="restart"/>
            <w:shd w:val="clear" w:color="auto" w:fill="auto"/>
            <w:vAlign w:val="center"/>
          </w:tcPr>
          <w:p w14:paraId="4BB913FC">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平面固定式</w:t>
            </w:r>
          </w:p>
        </w:tc>
        <w:tc>
          <w:tcPr>
            <w:tcW w:w="1066" w:type="dxa"/>
            <w:shd w:val="clear" w:color="auto" w:fill="auto"/>
            <w:vAlign w:val="center"/>
          </w:tcPr>
          <w:p w14:paraId="77343C69">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提示牌</w:t>
            </w:r>
          </w:p>
        </w:tc>
        <w:tc>
          <w:tcPr>
            <w:tcW w:w="1842" w:type="dxa"/>
            <w:shd w:val="clear" w:color="auto" w:fill="auto"/>
            <w:vAlign w:val="center"/>
          </w:tcPr>
          <w:p w14:paraId="67229FB0">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□300×480</w:t>
            </w:r>
            <w:r>
              <w:rPr>
                <w:rStyle w:val="11"/>
                <w:rFonts w:hint="eastAsia" w:ascii="Times New Roman" w:hAnsi="Times New Roman" w:eastAsia="仿宋_GB2312" w:cs="Times New Roman"/>
                <w:kern w:val="2"/>
                <w:sz w:val="24"/>
                <w:szCs w:val="24"/>
                <w:lang w:val="en-US" w:eastAsia="zh-CN" w:bidi="ar-SA"/>
              </w:rPr>
              <w:t>毫米</w:t>
            </w:r>
          </w:p>
        </w:tc>
        <w:tc>
          <w:tcPr>
            <w:tcW w:w="1325" w:type="dxa"/>
            <w:shd w:val="clear" w:color="auto" w:fill="auto"/>
            <w:vAlign w:val="center"/>
          </w:tcPr>
          <w:p w14:paraId="031705BA">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绿色</w:t>
            </w:r>
          </w:p>
        </w:tc>
        <w:tc>
          <w:tcPr>
            <w:tcW w:w="1363" w:type="dxa"/>
            <w:shd w:val="clear" w:color="auto" w:fill="auto"/>
            <w:vAlign w:val="center"/>
          </w:tcPr>
          <w:p w14:paraId="365B4DCD">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白色</w:t>
            </w:r>
          </w:p>
        </w:tc>
      </w:tr>
      <w:tr w14:paraId="7E27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2" w:type="dxa"/>
            <w:vMerge w:val="continue"/>
            <w:shd w:val="clear" w:color="auto" w:fill="auto"/>
            <w:vAlign w:val="center"/>
          </w:tcPr>
          <w:p w14:paraId="2A8C100E">
            <w:pPr>
              <w:spacing w:line="360" w:lineRule="auto"/>
              <w:jc w:val="center"/>
              <w:rPr>
                <w:rStyle w:val="11"/>
                <w:rFonts w:hint="default" w:ascii="Times New Roman" w:hAnsi="Times New Roman" w:eastAsia="仿宋_GB2312" w:cs="Times New Roman"/>
                <w:kern w:val="2"/>
                <w:sz w:val="24"/>
                <w:szCs w:val="24"/>
                <w:lang w:val="en-US" w:eastAsia="zh-CN" w:bidi="ar-SA"/>
              </w:rPr>
            </w:pPr>
          </w:p>
        </w:tc>
        <w:tc>
          <w:tcPr>
            <w:tcW w:w="1066" w:type="dxa"/>
            <w:shd w:val="clear" w:color="auto" w:fill="auto"/>
            <w:vAlign w:val="center"/>
          </w:tcPr>
          <w:p w14:paraId="03DBD6BE">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警告牌</w:t>
            </w:r>
          </w:p>
        </w:tc>
        <w:tc>
          <w:tcPr>
            <w:tcW w:w="1842" w:type="dxa"/>
            <w:shd w:val="clear" w:color="auto" w:fill="auto"/>
            <w:vAlign w:val="center"/>
          </w:tcPr>
          <w:p w14:paraId="3726F319">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△420</w:t>
            </w:r>
            <w:r>
              <w:rPr>
                <w:rStyle w:val="11"/>
                <w:rFonts w:hint="eastAsia" w:ascii="Times New Roman" w:hAnsi="Times New Roman" w:eastAsia="仿宋_GB2312" w:cs="Times New Roman"/>
                <w:kern w:val="2"/>
                <w:sz w:val="24"/>
                <w:szCs w:val="24"/>
                <w:lang w:val="en-US" w:eastAsia="zh-CN" w:bidi="ar-SA"/>
              </w:rPr>
              <w:t>毫米</w:t>
            </w:r>
          </w:p>
          <w:p w14:paraId="78AFC986">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□450×680</w:t>
            </w:r>
            <w:r>
              <w:rPr>
                <w:rStyle w:val="11"/>
                <w:rFonts w:hint="eastAsia" w:ascii="Times New Roman" w:hAnsi="Times New Roman" w:eastAsia="仿宋_GB2312" w:cs="Times New Roman"/>
                <w:kern w:val="2"/>
                <w:sz w:val="24"/>
                <w:szCs w:val="24"/>
                <w:lang w:val="en-US" w:eastAsia="zh-CN" w:bidi="ar-SA"/>
              </w:rPr>
              <w:t>毫米</w:t>
            </w:r>
          </w:p>
        </w:tc>
        <w:tc>
          <w:tcPr>
            <w:tcW w:w="1325" w:type="dxa"/>
            <w:shd w:val="clear" w:color="auto" w:fill="auto"/>
            <w:vAlign w:val="center"/>
          </w:tcPr>
          <w:p w14:paraId="7F070DB7">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黄色</w:t>
            </w:r>
          </w:p>
        </w:tc>
        <w:tc>
          <w:tcPr>
            <w:tcW w:w="1363" w:type="dxa"/>
            <w:shd w:val="clear" w:color="auto" w:fill="auto"/>
            <w:vAlign w:val="center"/>
          </w:tcPr>
          <w:p w14:paraId="78126B41">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黑色</w:t>
            </w:r>
          </w:p>
        </w:tc>
      </w:tr>
      <w:tr w14:paraId="1BC6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512" w:type="dxa"/>
            <w:vMerge w:val="restart"/>
            <w:shd w:val="clear" w:color="auto" w:fill="auto"/>
            <w:vAlign w:val="center"/>
          </w:tcPr>
          <w:p w14:paraId="289F63E0">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立式（竖式）</w:t>
            </w:r>
          </w:p>
        </w:tc>
        <w:tc>
          <w:tcPr>
            <w:tcW w:w="1066" w:type="dxa"/>
            <w:shd w:val="clear" w:color="auto" w:fill="auto"/>
            <w:vAlign w:val="center"/>
          </w:tcPr>
          <w:p w14:paraId="7024D3EB">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提示牌</w:t>
            </w:r>
          </w:p>
        </w:tc>
        <w:tc>
          <w:tcPr>
            <w:tcW w:w="1842" w:type="dxa"/>
            <w:shd w:val="clear" w:color="auto" w:fill="auto"/>
            <w:vAlign w:val="center"/>
          </w:tcPr>
          <w:p w14:paraId="3CDE5F39">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□420×420</w:t>
            </w:r>
            <w:r>
              <w:rPr>
                <w:rStyle w:val="11"/>
                <w:rFonts w:hint="eastAsia" w:ascii="Times New Roman" w:hAnsi="Times New Roman" w:eastAsia="仿宋_GB2312" w:cs="Times New Roman"/>
                <w:kern w:val="2"/>
                <w:sz w:val="24"/>
                <w:szCs w:val="24"/>
                <w:lang w:val="en-US" w:eastAsia="zh-CN" w:bidi="ar-SA"/>
              </w:rPr>
              <w:t>毫米</w:t>
            </w:r>
          </w:p>
        </w:tc>
        <w:tc>
          <w:tcPr>
            <w:tcW w:w="1325" w:type="dxa"/>
            <w:shd w:val="clear" w:color="auto" w:fill="auto"/>
            <w:vAlign w:val="center"/>
          </w:tcPr>
          <w:p w14:paraId="6C440DB4">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绿色</w:t>
            </w:r>
          </w:p>
        </w:tc>
        <w:tc>
          <w:tcPr>
            <w:tcW w:w="1363" w:type="dxa"/>
            <w:shd w:val="clear" w:color="auto" w:fill="auto"/>
            <w:vAlign w:val="center"/>
          </w:tcPr>
          <w:p w14:paraId="02E61F70">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白色</w:t>
            </w:r>
          </w:p>
        </w:tc>
      </w:tr>
      <w:tr w14:paraId="5CA6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2" w:type="dxa"/>
            <w:vMerge w:val="continue"/>
            <w:shd w:val="clear" w:color="auto" w:fill="auto"/>
            <w:vAlign w:val="center"/>
          </w:tcPr>
          <w:p w14:paraId="07AC525E">
            <w:pPr>
              <w:spacing w:line="360" w:lineRule="auto"/>
              <w:jc w:val="center"/>
              <w:rPr>
                <w:rStyle w:val="11"/>
                <w:rFonts w:hint="default" w:ascii="Times New Roman" w:hAnsi="Times New Roman" w:eastAsia="仿宋_GB2312" w:cs="Times New Roman"/>
                <w:kern w:val="2"/>
                <w:sz w:val="24"/>
                <w:szCs w:val="24"/>
                <w:lang w:val="en-US" w:eastAsia="zh-CN" w:bidi="ar-SA"/>
              </w:rPr>
            </w:pPr>
          </w:p>
        </w:tc>
        <w:tc>
          <w:tcPr>
            <w:tcW w:w="1066" w:type="dxa"/>
            <w:shd w:val="clear" w:color="auto" w:fill="auto"/>
            <w:vAlign w:val="center"/>
          </w:tcPr>
          <w:p w14:paraId="602EBD76">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警告牌</w:t>
            </w:r>
          </w:p>
        </w:tc>
        <w:tc>
          <w:tcPr>
            <w:tcW w:w="1842" w:type="dxa"/>
            <w:shd w:val="clear" w:color="auto" w:fill="auto"/>
            <w:vAlign w:val="center"/>
          </w:tcPr>
          <w:p w14:paraId="16F5B485">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△560</w:t>
            </w:r>
            <w:r>
              <w:rPr>
                <w:rStyle w:val="11"/>
                <w:rFonts w:hint="eastAsia" w:ascii="Times New Roman" w:hAnsi="Times New Roman" w:eastAsia="仿宋_GB2312" w:cs="Times New Roman"/>
                <w:kern w:val="2"/>
                <w:sz w:val="24"/>
                <w:szCs w:val="24"/>
                <w:lang w:val="en-US" w:eastAsia="zh-CN" w:bidi="ar-SA"/>
              </w:rPr>
              <w:t>毫米</w:t>
            </w:r>
          </w:p>
        </w:tc>
        <w:tc>
          <w:tcPr>
            <w:tcW w:w="1325" w:type="dxa"/>
            <w:shd w:val="clear" w:color="auto" w:fill="auto"/>
            <w:vAlign w:val="center"/>
          </w:tcPr>
          <w:p w14:paraId="7E76DB33">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黄色</w:t>
            </w:r>
          </w:p>
        </w:tc>
        <w:tc>
          <w:tcPr>
            <w:tcW w:w="1363" w:type="dxa"/>
            <w:shd w:val="clear" w:color="auto" w:fill="auto"/>
            <w:vAlign w:val="center"/>
          </w:tcPr>
          <w:p w14:paraId="4EB1836F">
            <w:pPr>
              <w:spacing w:line="360" w:lineRule="auto"/>
              <w:jc w:val="center"/>
              <w:rPr>
                <w:rStyle w:val="11"/>
                <w:rFonts w:hint="default" w:ascii="Times New Roman" w:hAnsi="Times New Roman" w:eastAsia="仿宋_GB2312" w:cs="Times New Roman"/>
                <w:kern w:val="2"/>
                <w:sz w:val="24"/>
                <w:szCs w:val="24"/>
                <w:lang w:val="en-US" w:eastAsia="zh-CN" w:bidi="ar-SA"/>
              </w:rPr>
            </w:pPr>
            <w:r>
              <w:rPr>
                <w:rStyle w:val="11"/>
                <w:rFonts w:hint="default" w:ascii="Times New Roman" w:hAnsi="Times New Roman" w:eastAsia="仿宋_GB2312" w:cs="Times New Roman"/>
                <w:kern w:val="2"/>
                <w:sz w:val="24"/>
                <w:szCs w:val="24"/>
                <w:lang w:val="en-US" w:eastAsia="zh-CN" w:bidi="ar-SA"/>
              </w:rPr>
              <w:t>黑色</w:t>
            </w:r>
          </w:p>
        </w:tc>
      </w:tr>
    </w:tbl>
    <w:p w14:paraId="700A21F6">
      <w:pPr>
        <w:keepNext w:val="0"/>
        <w:keepLines w:val="0"/>
        <w:pageBreakBefore w:val="0"/>
        <w:widowControl w:val="0"/>
        <w:kinsoku/>
        <w:wordWrap/>
        <w:overflowPunct/>
        <w:topLinePunct w:val="0"/>
        <w:autoSpaceDE/>
        <w:autoSpaceDN/>
        <w:adjustRightInd/>
        <w:snapToGrid/>
        <w:ind w:firstLine="640" w:firstLineChars="200"/>
        <w:textAlignment w:val="auto"/>
        <w:rPr>
          <w:rStyle w:val="11"/>
          <w:rFonts w:hint="default" w:ascii="Times New Roman" w:hAnsi="Times New Roman" w:eastAsia="仿宋_GB2312" w:cs="Times New Roman"/>
          <w:kern w:val="2"/>
          <w:sz w:val="32"/>
          <w:szCs w:val="32"/>
          <w:lang w:val="en-US" w:eastAsia="zh-CN" w:bidi="ar-SA"/>
        </w:rPr>
      </w:pPr>
      <w:r>
        <w:rPr>
          <w:rStyle w:val="11"/>
          <w:rFonts w:hint="default" w:ascii="Times New Roman" w:hAnsi="Times New Roman" w:eastAsia="仿宋_GB2312" w:cs="Times New Roman"/>
          <w:kern w:val="2"/>
          <w:sz w:val="32"/>
          <w:szCs w:val="32"/>
          <w:lang w:val="en-US" w:eastAsia="zh-CN" w:bidi="ar-SA"/>
        </w:rPr>
        <w:t>（七）</w:t>
      </w:r>
      <w:r>
        <w:rPr>
          <w:rStyle w:val="11"/>
          <w:rFonts w:hint="default" w:ascii="Times New Roman" w:hAnsi="Times New Roman" w:eastAsia="仿宋_GB2312" w:cs="Times New Roman"/>
          <w:b w:val="0"/>
          <w:bCs w:val="0"/>
          <w:color w:val="auto"/>
          <w:kern w:val="2"/>
          <w:sz w:val="32"/>
          <w:szCs w:val="32"/>
          <w:highlight w:val="none"/>
          <w:lang w:val="en-US" w:eastAsia="zh-CN" w:bidi="ar-SA"/>
        </w:rPr>
        <w:t>标志牌</w:t>
      </w:r>
      <w:r>
        <w:rPr>
          <w:rStyle w:val="11"/>
          <w:rFonts w:hint="default" w:ascii="Times New Roman" w:hAnsi="Times New Roman" w:eastAsia="仿宋_GB2312" w:cs="Times New Roman"/>
          <w:kern w:val="2"/>
          <w:sz w:val="32"/>
          <w:szCs w:val="32"/>
          <w:lang w:val="en-US" w:eastAsia="zh-CN" w:bidi="ar-SA"/>
        </w:rPr>
        <w:t>样式：</w:t>
      </w:r>
    </w:p>
    <w:p w14:paraId="297AB889">
      <w:pPr>
        <w:keepNext w:val="0"/>
        <w:keepLines w:val="0"/>
        <w:pageBreakBefore w:val="0"/>
        <w:widowControl w:val="0"/>
        <w:kinsoku/>
        <w:wordWrap/>
        <w:overflowPunct/>
        <w:topLinePunct w:val="0"/>
        <w:autoSpaceDE/>
        <w:autoSpaceDN/>
        <w:adjustRightInd/>
        <w:snapToGrid/>
        <w:ind w:firstLine="643" w:firstLineChars="200"/>
        <w:jc w:val="both"/>
        <w:textAlignment w:val="auto"/>
        <w:rPr>
          <w:rStyle w:val="11"/>
          <w:rFonts w:hint="default" w:ascii="Times New Roman" w:hAnsi="Times New Roman" w:eastAsia="仿宋_GB2312" w:cs="Times New Roman"/>
          <w:b/>
          <w:kern w:val="2"/>
          <w:sz w:val="32"/>
          <w:szCs w:val="32"/>
          <w:lang w:val="en-US" w:eastAsia="zh-CN" w:bidi="ar-SA"/>
        </w:rPr>
      </w:pPr>
      <w:r>
        <w:rPr>
          <w:rStyle w:val="11"/>
          <w:rFonts w:hint="default" w:ascii="Times New Roman" w:hAnsi="Times New Roman" w:eastAsia="仿宋_GB2312" w:cs="Times New Roman"/>
          <w:b/>
          <w:kern w:val="2"/>
          <w:sz w:val="32"/>
          <w:szCs w:val="32"/>
          <w:lang w:val="en-US" w:eastAsia="zh-CN" w:bidi="ar-SA"/>
        </w:rPr>
        <w:t>1</w:t>
      </w:r>
      <w:r>
        <w:rPr>
          <w:rStyle w:val="11"/>
          <w:rFonts w:hint="eastAsia" w:ascii="Times New Roman" w:hAnsi="Times New Roman" w:eastAsia="仿宋_GB2312" w:cs="Times New Roman"/>
          <w:b/>
          <w:kern w:val="2"/>
          <w:sz w:val="32"/>
          <w:szCs w:val="32"/>
          <w:lang w:val="en-US" w:eastAsia="zh" w:bidi="ar-SA"/>
          <w:woUserID w:val="1"/>
        </w:rPr>
        <w:t>.</w:t>
      </w:r>
      <w:r>
        <w:rPr>
          <w:rStyle w:val="11"/>
          <w:rFonts w:hint="default" w:ascii="Times New Roman" w:hAnsi="Times New Roman" w:eastAsia="仿宋_GB2312" w:cs="Times New Roman"/>
          <w:b/>
          <w:kern w:val="2"/>
          <w:sz w:val="32"/>
          <w:szCs w:val="32"/>
          <w:lang w:val="en-US" w:eastAsia="zh-CN" w:bidi="ar-SA"/>
        </w:rPr>
        <w:t>提示标志</w:t>
      </w:r>
    </w:p>
    <w:p w14:paraId="267C05DA">
      <w:pPr>
        <w:jc w:val="center"/>
        <w:rPr>
          <w:rStyle w:val="11"/>
          <w:rFonts w:hint="default" w:ascii="Times New Roman" w:hAnsi="Times New Roman" w:eastAsia="仿宋_GB2312" w:cs="Times New Roman"/>
          <w:b/>
          <w:kern w:val="2"/>
          <w:sz w:val="28"/>
          <w:szCs w:val="28"/>
          <w:lang w:val="en-US" w:eastAsia="zh-CN" w:bidi="ar-SA"/>
        </w:rPr>
      </w:pPr>
      <w:r>
        <w:rPr>
          <w:rStyle w:val="11"/>
          <w:rFonts w:hint="default" w:ascii="Times New Roman" w:hAnsi="Times New Roman" w:eastAsia="仿宋_GB2312" w:cs="Times New Roman"/>
          <w:kern w:val="2"/>
          <w:sz w:val="21"/>
          <w:szCs w:val="22"/>
          <w:lang w:val="en-US" w:eastAsia="zh-CN" w:bidi="ar-SA"/>
        </w:rPr>
        <w:drawing>
          <wp:inline distT="0" distB="0" distL="114300" distR="114300">
            <wp:extent cx="5269230" cy="331660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269230" cy="3316605"/>
                    </a:xfrm>
                    <a:prstGeom prst="rect">
                      <a:avLst/>
                    </a:prstGeom>
                    <a:noFill/>
                    <a:ln>
                      <a:noFill/>
                    </a:ln>
                  </pic:spPr>
                </pic:pic>
              </a:graphicData>
            </a:graphic>
          </wp:inline>
        </w:drawing>
      </w:r>
    </w:p>
    <w:p w14:paraId="1F45A2E1">
      <w:pPr>
        <w:keepNext w:val="0"/>
        <w:keepLines w:val="0"/>
        <w:pageBreakBefore w:val="0"/>
        <w:widowControl w:val="0"/>
        <w:numPr>
          <w:ilvl w:val="-1"/>
          <w:numId w:val="0"/>
        </w:numPr>
        <w:kinsoku/>
        <w:wordWrap/>
        <w:overflowPunct/>
        <w:topLinePunct w:val="0"/>
        <w:autoSpaceDE/>
        <w:autoSpaceDN/>
        <w:adjustRightInd/>
        <w:snapToGrid/>
        <w:ind w:firstLine="643" w:firstLineChars="200"/>
        <w:jc w:val="both"/>
        <w:textAlignment w:val="auto"/>
        <w:rPr>
          <w:rStyle w:val="11"/>
          <w:rFonts w:hint="eastAsia" w:ascii="Times New Roman" w:hAnsi="Times New Roman" w:eastAsia="仿宋_GB2312" w:cs="Times New Roman"/>
          <w:b/>
          <w:kern w:val="2"/>
          <w:sz w:val="32"/>
          <w:szCs w:val="32"/>
          <w:lang w:val="en-US" w:eastAsia="zh-CN" w:bidi="ar-SA"/>
        </w:rPr>
      </w:pPr>
    </w:p>
    <w:p w14:paraId="5D1EFEC7">
      <w:pPr>
        <w:keepNext w:val="0"/>
        <w:keepLines w:val="0"/>
        <w:pageBreakBefore w:val="0"/>
        <w:widowControl w:val="0"/>
        <w:numPr>
          <w:ilvl w:val="-1"/>
          <w:numId w:val="0"/>
        </w:numPr>
        <w:kinsoku/>
        <w:wordWrap/>
        <w:overflowPunct/>
        <w:topLinePunct w:val="0"/>
        <w:autoSpaceDE/>
        <w:autoSpaceDN/>
        <w:adjustRightInd/>
        <w:snapToGrid/>
        <w:ind w:firstLine="643" w:firstLineChars="200"/>
        <w:jc w:val="both"/>
        <w:textAlignment w:val="auto"/>
        <w:rPr>
          <w:rStyle w:val="11"/>
          <w:rFonts w:hint="eastAsia" w:ascii="Times New Roman" w:hAnsi="Times New Roman" w:eastAsia="仿宋_GB2312" w:cs="Times New Roman"/>
          <w:b/>
          <w:kern w:val="2"/>
          <w:sz w:val="32"/>
          <w:szCs w:val="32"/>
          <w:lang w:val="en-US" w:eastAsia="zh-CN" w:bidi="ar-SA"/>
        </w:rPr>
      </w:pPr>
    </w:p>
    <w:p w14:paraId="7C2BDFAD">
      <w:pPr>
        <w:keepNext w:val="0"/>
        <w:keepLines w:val="0"/>
        <w:pageBreakBefore w:val="0"/>
        <w:widowControl w:val="0"/>
        <w:numPr>
          <w:ilvl w:val="-1"/>
          <w:numId w:val="0"/>
        </w:numPr>
        <w:kinsoku/>
        <w:wordWrap/>
        <w:overflowPunct/>
        <w:topLinePunct w:val="0"/>
        <w:autoSpaceDE/>
        <w:autoSpaceDN/>
        <w:adjustRightInd/>
        <w:snapToGrid/>
        <w:ind w:firstLine="643" w:firstLineChars="200"/>
        <w:jc w:val="both"/>
        <w:textAlignment w:val="auto"/>
        <w:rPr>
          <w:rStyle w:val="11"/>
          <w:rFonts w:hint="eastAsia" w:ascii="Times New Roman" w:hAnsi="Times New Roman" w:eastAsia="仿宋_GB2312" w:cs="Times New Roman"/>
          <w:b/>
          <w:kern w:val="2"/>
          <w:sz w:val="32"/>
          <w:szCs w:val="32"/>
          <w:lang w:val="en-US" w:eastAsia="zh-CN" w:bidi="ar-SA"/>
        </w:rPr>
      </w:pPr>
    </w:p>
    <w:p w14:paraId="4B0841EB">
      <w:pPr>
        <w:keepNext w:val="0"/>
        <w:keepLines w:val="0"/>
        <w:pageBreakBefore w:val="0"/>
        <w:widowControl w:val="0"/>
        <w:numPr>
          <w:ilvl w:val="-1"/>
          <w:numId w:val="0"/>
        </w:numPr>
        <w:kinsoku/>
        <w:wordWrap/>
        <w:overflowPunct/>
        <w:topLinePunct w:val="0"/>
        <w:autoSpaceDE/>
        <w:autoSpaceDN/>
        <w:adjustRightInd/>
        <w:snapToGrid/>
        <w:ind w:firstLine="643" w:firstLineChars="200"/>
        <w:jc w:val="both"/>
        <w:textAlignment w:val="auto"/>
        <w:rPr>
          <w:rStyle w:val="11"/>
          <w:rFonts w:hint="eastAsia" w:ascii="Times New Roman" w:hAnsi="Times New Roman" w:eastAsia="仿宋_GB2312" w:cs="Times New Roman"/>
          <w:b/>
          <w:kern w:val="2"/>
          <w:sz w:val="32"/>
          <w:szCs w:val="32"/>
          <w:lang w:val="en-US" w:eastAsia="zh-CN" w:bidi="ar-SA"/>
        </w:rPr>
      </w:pPr>
    </w:p>
    <w:p w14:paraId="6629D749">
      <w:pPr>
        <w:keepNext w:val="0"/>
        <w:keepLines w:val="0"/>
        <w:pageBreakBefore w:val="0"/>
        <w:widowControl w:val="0"/>
        <w:numPr>
          <w:ilvl w:val="-1"/>
          <w:numId w:val="0"/>
        </w:numPr>
        <w:kinsoku/>
        <w:wordWrap/>
        <w:overflowPunct/>
        <w:topLinePunct w:val="0"/>
        <w:autoSpaceDE/>
        <w:autoSpaceDN/>
        <w:adjustRightInd/>
        <w:snapToGrid/>
        <w:ind w:firstLine="643" w:firstLineChars="200"/>
        <w:jc w:val="both"/>
        <w:textAlignment w:val="auto"/>
        <w:rPr>
          <w:rStyle w:val="11"/>
          <w:rFonts w:hint="eastAsia" w:ascii="Times New Roman" w:hAnsi="Times New Roman" w:eastAsia="仿宋_GB2312" w:cs="Times New Roman"/>
          <w:b/>
          <w:kern w:val="2"/>
          <w:sz w:val="32"/>
          <w:szCs w:val="32"/>
          <w:lang w:val="en-US" w:eastAsia="zh-CN" w:bidi="ar-SA"/>
        </w:rPr>
      </w:pPr>
    </w:p>
    <w:p w14:paraId="65402D63">
      <w:pPr>
        <w:keepNext w:val="0"/>
        <w:keepLines w:val="0"/>
        <w:pageBreakBefore w:val="0"/>
        <w:widowControl w:val="0"/>
        <w:numPr>
          <w:ilvl w:val="-1"/>
          <w:numId w:val="0"/>
        </w:numPr>
        <w:kinsoku/>
        <w:wordWrap/>
        <w:overflowPunct/>
        <w:topLinePunct w:val="0"/>
        <w:autoSpaceDE/>
        <w:autoSpaceDN/>
        <w:adjustRightInd/>
        <w:snapToGrid/>
        <w:ind w:firstLine="643" w:firstLineChars="200"/>
        <w:jc w:val="both"/>
        <w:textAlignment w:val="auto"/>
        <w:rPr>
          <w:rStyle w:val="11"/>
          <w:rFonts w:hint="default" w:ascii="Times New Roman" w:hAnsi="Times New Roman" w:eastAsia="仿宋_GB2312" w:cs="Times New Roman"/>
          <w:b/>
          <w:kern w:val="2"/>
          <w:sz w:val="32"/>
          <w:szCs w:val="32"/>
          <w:lang w:val="en-US" w:eastAsia="zh-CN" w:bidi="ar-SA"/>
        </w:rPr>
      </w:pPr>
      <w:bookmarkStart w:id="2" w:name="_GoBack"/>
      <w:bookmarkEnd w:id="2"/>
      <w:r>
        <w:rPr>
          <w:rStyle w:val="11"/>
          <w:rFonts w:hint="eastAsia" w:ascii="Times New Roman" w:hAnsi="Times New Roman" w:eastAsia="仿宋_GB2312" w:cs="Times New Roman"/>
          <w:b/>
          <w:kern w:val="2"/>
          <w:sz w:val="32"/>
          <w:szCs w:val="32"/>
          <w:lang w:val="en-US" w:eastAsia="zh-CN" w:bidi="ar-SA"/>
        </w:rPr>
        <w:t>2</w:t>
      </w:r>
      <w:r>
        <w:rPr>
          <w:rStyle w:val="11"/>
          <w:rFonts w:hint="eastAsia" w:ascii="Times New Roman" w:hAnsi="Times New Roman" w:eastAsia="仿宋_GB2312" w:cs="Times New Roman"/>
          <w:b/>
          <w:kern w:val="2"/>
          <w:sz w:val="32"/>
          <w:szCs w:val="32"/>
          <w:lang w:val="en-US" w:eastAsia="zh" w:bidi="ar-SA"/>
          <w:woUserID w:val="1"/>
        </w:rPr>
        <w:t>.</w:t>
      </w:r>
      <w:r>
        <w:rPr>
          <w:rStyle w:val="11"/>
          <w:rFonts w:hint="default" w:ascii="Times New Roman" w:hAnsi="Times New Roman" w:eastAsia="仿宋_GB2312" w:cs="Times New Roman"/>
          <w:b/>
          <w:kern w:val="2"/>
          <w:sz w:val="32"/>
          <w:szCs w:val="32"/>
          <w:lang w:val="en-US" w:eastAsia="zh-CN" w:bidi="ar-SA"/>
        </w:rPr>
        <w:t>警告标志</w:t>
      </w:r>
    </w:p>
    <w:p w14:paraId="5CF530EC">
      <w:pPr>
        <w:keepNext w:val="0"/>
        <w:keepLines w:val="0"/>
        <w:pageBreakBefore w:val="0"/>
        <w:widowControl w:val="0"/>
        <w:kinsoku/>
        <w:wordWrap/>
        <w:overflowPunct/>
        <w:topLinePunct w:val="0"/>
        <w:autoSpaceDE/>
        <w:autoSpaceDN/>
        <w:adjustRightInd/>
        <w:snapToGrid/>
        <w:jc w:val="both"/>
        <w:textAlignment w:val="auto"/>
        <w:rPr>
          <w:rStyle w:val="11"/>
          <w:rFonts w:hint="default" w:ascii="Times New Roman" w:hAnsi="Times New Roman" w:eastAsia="仿宋_GB2312" w:cs="Times New Roman"/>
          <w:kern w:val="2"/>
          <w:sz w:val="21"/>
          <w:szCs w:val="22"/>
          <w:lang w:val="en-US" w:eastAsia="zh-CN" w:bidi="ar-SA"/>
        </w:rPr>
      </w:pPr>
      <w:r>
        <w:rPr>
          <w:rStyle w:val="11"/>
          <w:rFonts w:hint="default" w:ascii="Times New Roman" w:hAnsi="Times New Roman" w:eastAsia="仿宋_GB2312" w:cs="Times New Roman"/>
          <w:b/>
          <w:kern w:val="2"/>
          <w:sz w:val="28"/>
          <w:szCs w:val="28"/>
          <w:lang w:val="en-US" w:eastAsia="zh-CN" w:bidi="ar-SA"/>
        </w:rPr>
        <w:drawing>
          <wp:inline distT="0" distB="0" distL="114300" distR="114300">
            <wp:extent cx="5273040" cy="3637280"/>
            <wp:effectExtent l="0" t="0" r="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9"/>
                    <a:stretch>
                      <a:fillRect/>
                    </a:stretch>
                  </pic:blipFill>
                  <pic:spPr>
                    <a:xfrm>
                      <a:off x="0" y="0"/>
                      <a:ext cx="5273040" cy="3637280"/>
                    </a:xfrm>
                    <a:prstGeom prst="rect">
                      <a:avLst/>
                    </a:prstGeom>
                    <a:noFill/>
                    <a:ln>
                      <a:noFill/>
                    </a:ln>
                  </pic:spPr>
                </pic:pic>
              </a:graphicData>
            </a:graphic>
          </wp:inline>
        </w:drawing>
      </w:r>
    </w:p>
    <w:p w14:paraId="51755939">
      <w:pPr>
        <w:rPr>
          <w:rStyle w:val="11"/>
          <w:rFonts w:hint="default" w:ascii="Times New Roman" w:hAnsi="Times New Roman" w:eastAsia="仿宋_GB2312" w:cs="Times New Roman"/>
          <w:kern w:val="2"/>
          <w:sz w:val="21"/>
          <w:szCs w:val="22"/>
          <w:lang w:val="en-US" w:eastAsia="zh-CN" w:bidi="ar-SA"/>
        </w:rPr>
      </w:pPr>
    </w:p>
    <w:p w14:paraId="7C24BA98">
      <w:pPr>
        <w:jc w:val="center"/>
        <w:rPr>
          <w:rStyle w:val="11"/>
          <w:rFonts w:ascii="Times New Roman" w:hAnsi="Times New Roman" w:eastAsia="仿宋_GB2312" w:cs="Times New Roman"/>
          <w:kern w:val="2"/>
          <w:sz w:val="21"/>
          <w:szCs w:val="22"/>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46990</wp:posOffset>
                </wp:positionV>
                <wp:extent cx="428625" cy="142875"/>
                <wp:effectExtent l="0" t="0" r="9525" b="9525"/>
                <wp:wrapNone/>
                <wp:docPr id="13" name="矩形 13"/>
                <wp:cNvGraphicFramePr/>
                <a:graphic xmlns:a="http://schemas.openxmlformats.org/drawingml/2006/main">
                  <a:graphicData uri="http://schemas.microsoft.com/office/word/2010/wordprocessingShape">
                    <wps:wsp>
                      <wps:cNvSpPr/>
                      <wps:spPr>
                        <a:xfrm>
                          <a:off x="1828800" y="961390"/>
                          <a:ext cx="428625" cy="14287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pt;margin-top:3.7pt;height:11.25pt;width:33.75pt;z-index:251661312;v-text-anchor:middle;mso-width-relative:page;mso-height-relative:page;" fillcolor="#FFFFFF [3212]" filled="t" stroked="f" coordsize="21600,21600" o:gfxdata="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G2MaP0wAAAAgBAAAPAAAAAAAAAAEAIAAAACIAAABkcnMvZG93bnJldi54bWxQSwECFAAU&#10;AAAACACHTuJAStGrg2gCAADABAAADgAAAAAAAAABACAAAAAiAQAAZHJzL2Uyb0RvYy54bWxQSwUG&#10;AAAAAAYABgBZAQAA/AUAAAAA&#10;">
                <v:fill on="t" focussize="0,0"/>
                <v:stroke on="f" weight="2pt"/>
                <v:imagedata o:title=""/>
                <o:lock v:ext="edit" aspectratio="f"/>
              </v:rect>
            </w:pict>
          </mc:Fallback>
        </mc:AlternateContent>
      </w:r>
      <w:r>
        <w:rPr>
          <w:rStyle w:val="11"/>
          <w:rFonts w:ascii="Times New Roman" w:hAnsi="Times New Roman" w:eastAsia="仿宋_GB2312" w:cs="Times New Roman"/>
          <w:kern w:val="2"/>
          <w:sz w:val="21"/>
          <w:szCs w:val="22"/>
          <w:lang w:val="en-US" w:eastAsia="zh-CN" w:bidi="ar-SA"/>
        </w:rPr>
        <w:drawing>
          <wp:inline distT="0" distB="0" distL="114300" distR="114300">
            <wp:extent cx="5273675" cy="1360170"/>
            <wp:effectExtent l="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0"/>
                    <a:stretch>
                      <a:fillRect/>
                    </a:stretch>
                  </pic:blipFill>
                  <pic:spPr>
                    <a:xfrm>
                      <a:off x="0" y="0"/>
                      <a:ext cx="5273675" cy="1360170"/>
                    </a:xfrm>
                    <a:prstGeom prst="rect">
                      <a:avLst/>
                    </a:prstGeom>
                    <a:noFill/>
                    <a:ln>
                      <a:noFill/>
                    </a:ln>
                  </pic:spPr>
                </pic:pic>
              </a:graphicData>
            </a:graphic>
          </wp:inline>
        </w:drawing>
      </w:r>
    </w:p>
    <w:p w14:paraId="55C97579">
      <w:pPr>
        <w:rPr>
          <w:rStyle w:val="11"/>
          <w:rFonts w:hint="default" w:ascii="Times New Roman" w:hAnsi="Times New Roman" w:eastAsia="仿宋_GB2312" w:cs="Times New Roman"/>
          <w:kern w:val="2"/>
          <w:sz w:val="21"/>
          <w:szCs w:val="22"/>
          <w:lang w:val="en-US" w:eastAsia="zh-CN" w:bidi="ar-SA"/>
        </w:rPr>
      </w:pPr>
      <w:r>
        <w:rPr>
          <w:rStyle w:val="11"/>
          <w:rFonts w:ascii="Times New Roman" w:hAnsi="Times New Roman" w:eastAsia="仿宋_GB2312" w:cs="Times New Roman"/>
          <w:kern w:val="2"/>
          <w:sz w:val="21"/>
          <w:szCs w:val="22"/>
          <w:lang w:val="en-US" w:eastAsia="zh-CN" w:bidi="ar-SA"/>
        </w:rPr>
        <w:drawing>
          <wp:inline distT="0" distB="0" distL="114300" distR="114300">
            <wp:extent cx="2745740" cy="1735455"/>
            <wp:effectExtent l="0" t="0" r="0"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1"/>
                    <a:stretch>
                      <a:fillRect/>
                    </a:stretch>
                  </pic:blipFill>
                  <pic:spPr>
                    <a:xfrm>
                      <a:off x="0" y="0"/>
                      <a:ext cx="2745740" cy="1735455"/>
                    </a:xfrm>
                    <a:prstGeom prst="rect">
                      <a:avLst/>
                    </a:prstGeom>
                    <a:noFill/>
                    <a:ln>
                      <a:noFill/>
                    </a:ln>
                  </pic:spPr>
                </pic:pic>
              </a:graphicData>
            </a:graphic>
          </wp:inline>
        </w:drawing>
      </w:r>
      <w:r>
        <w:rPr>
          <w:rStyle w:val="11"/>
          <w:rFonts w:hint="default" w:ascii="Times New Roman" w:hAnsi="Times New Roman" w:eastAsia="仿宋_GB2312" w:cs="Times New Roman"/>
          <w:kern w:val="2"/>
          <w:sz w:val="21"/>
          <w:szCs w:val="22"/>
          <w:lang w:val="en-US" w:eastAsia="zh-CN" w:bidi="ar-SA"/>
        </w:rPr>
        <w:t xml:space="preserve">        </w:t>
      </w:r>
      <w:r>
        <w:rPr>
          <w:rStyle w:val="11"/>
          <w:rFonts w:ascii="Times New Roman" w:hAnsi="Times New Roman" w:eastAsia="仿宋_GB2312" w:cs="Times New Roman"/>
          <w:kern w:val="2"/>
          <w:sz w:val="21"/>
          <w:szCs w:val="22"/>
          <w:lang w:val="en-US" w:eastAsia="zh-CN" w:bidi="ar-SA"/>
        </w:rPr>
        <w:drawing>
          <wp:inline distT="0" distB="0" distL="114300" distR="114300">
            <wp:extent cx="1979930" cy="3107055"/>
            <wp:effectExtent l="0" t="0" r="0" b="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2"/>
                    <a:stretch>
                      <a:fillRect/>
                    </a:stretch>
                  </pic:blipFill>
                  <pic:spPr>
                    <a:xfrm>
                      <a:off x="0" y="0"/>
                      <a:ext cx="1979930" cy="3107055"/>
                    </a:xfrm>
                    <a:prstGeom prst="rect">
                      <a:avLst/>
                    </a:prstGeom>
                    <a:noFill/>
                    <a:ln>
                      <a:noFill/>
                    </a:ln>
                  </pic:spPr>
                </pic:pic>
              </a:graphicData>
            </a:graphic>
          </wp:inline>
        </w:drawing>
      </w:r>
    </w:p>
    <w:p w14:paraId="3484840E">
      <w:pPr>
        <w:rPr>
          <w:rStyle w:val="11"/>
          <w:rFonts w:hint="default" w:ascii="Times New Roman" w:hAnsi="Times New Roman" w:eastAsia="仿宋_GB2312" w:cs="Times New Roman"/>
          <w:kern w:val="2"/>
          <w:sz w:val="21"/>
          <w:szCs w:val="22"/>
          <w:lang w:val="en-US" w:eastAsia="zh-CN" w:bidi="ar-SA"/>
        </w:rPr>
      </w:pPr>
    </w:p>
    <w:p w14:paraId="14A60EAC">
      <w:pPr>
        <w:rPr>
          <w:rStyle w:val="11"/>
          <w:rFonts w:hint="default" w:ascii="Times New Roman" w:hAnsi="Times New Roman" w:eastAsia="仿宋_GB2312" w:cs="Times New Roman"/>
          <w:kern w:val="2"/>
          <w:sz w:val="21"/>
          <w:szCs w:val="22"/>
          <w:lang w:val="en-US" w:eastAsia="zh-CN" w:bidi="ar-SA"/>
        </w:rPr>
      </w:pPr>
      <w:r>
        <w:rPr>
          <w:rStyle w:val="11"/>
          <w:rFonts w:ascii="Times New Roman" w:hAnsi="Times New Roman" w:eastAsia="仿宋_GB2312" w:cs="Times New Roman"/>
          <w:kern w:val="2"/>
          <w:sz w:val="21"/>
          <w:szCs w:val="22"/>
          <w:lang w:val="en-US" w:eastAsia="zh-CN" w:bidi="ar-SA"/>
        </w:rPr>
        <w:drawing>
          <wp:inline distT="0" distB="0" distL="114300" distR="114300">
            <wp:extent cx="2723515" cy="1716405"/>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3"/>
                    <a:stretch>
                      <a:fillRect/>
                    </a:stretch>
                  </pic:blipFill>
                  <pic:spPr>
                    <a:xfrm>
                      <a:off x="0" y="0"/>
                      <a:ext cx="2723515" cy="1716405"/>
                    </a:xfrm>
                    <a:prstGeom prst="rect">
                      <a:avLst/>
                    </a:prstGeom>
                    <a:noFill/>
                    <a:ln>
                      <a:noFill/>
                    </a:ln>
                  </pic:spPr>
                </pic:pic>
              </a:graphicData>
            </a:graphic>
          </wp:inline>
        </w:drawing>
      </w:r>
      <w:r>
        <w:rPr>
          <w:rStyle w:val="11"/>
          <w:rFonts w:hint="default" w:ascii="Times New Roman" w:hAnsi="Times New Roman" w:eastAsia="仿宋_GB2312" w:cs="Times New Roman"/>
          <w:kern w:val="2"/>
          <w:sz w:val="21"/>
          <w:szCs w:val="22"/>
          <w:lang w:val="en-US" w:eastAsia="zh-CN" w:bidi="ar-SA"/>
        </w:rPr>
        <w:t xml:space="preserve">         </w:t>
      </w:r>
      <w:r>
        <w:rPr>
          <w:rStyle w:val="11"/>
          <w:rFonts w:ascii="Times New Roman" w:hAnsi="Times New Roman" w:eastAsia="仿宋_GB2312" w:cs="Times New Roman"/>
          <w:kern w:val="2"/>
          <w:sz w:val="21"/>
          <w:szCs w:val="22"/>
          <w:lang w:val="en-US" w:eastAsia="zh-CN" w:bidi="ar-SA"/>
        </w:rPr>
        <w:drawing>
          <wp:inline distT="0" distB="0" distL="114300" distR="114300">
            <wp:extent cx="1915160" cy="3036570"/>
            <wp:effectExtent l="0" t="0" r="0" b="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14"/>
                    <a:stretch>
                      <a:fillRect/>
                    </a:stretch>
                  </pic:blipFill>
                  <pic:spPr>
                    <a:xfrm>
                      <a:off x="0" y="0"/>
                      <a:ext cx="1915160" cy="3036570"/>
                    </a:xfrm>
                    <a:prstGeom prst="rect">
                      <a:avLst/>
                    </a:prstGeom>
                    <a:noFill/>
                    <a:ln>
                      <a:noFill/>
                    </a:ln>
                  </pic:spPr>
                </pic:pic>
              </a:graphicData>
            </a:graphic>
          </wp:inline>
        </w:drawing>
      </w:r>
    </w:p>
    <w:p w14:paraId="0D23132F">
      <w:pPr>
        <w:rPr>
          <w:rStyle w:val="11"/>
          <w:rFonts w:hint="default" w:ascii="Times New Roman" w:hAnsi="Times New Roman" w:eastAsia="仿宋_GB2312" w:cs="Times New Roman"/>
          <w:kern w:val="2"/>
          <w:sz w:val="21"/>
          <w:szCs w:val="22"/>
          <w:lang w:val="en-US" w:eastAsia="zh-CN" w:bidi="ar-SA"/>
        </w:rPr>
      </w:pPr>
    </w:p>
    <w:p w14:paraId="35A7438B">
      <w:pPr>
        <w:rPr>
          <w:rStyle w:val="11"/>
          <w:rFonts w:ascii="Times New Roman" w:hAnsi="Times New Roman" w:eastAsia="仿宋_GB2312" w:cs="Times New Roman"/>
          <w:kern w:val="2"/>
          <w:sz w:val="21"/>
          <w:szCs w:val="22"/>
          <w:lang w:val="en-US" w:eastAsia="zh-CN" w:bidi="ar-SA"/>
        </w:rPr>
      </w:pPr>
    </w:p>
    <w:p w14:paraId="653CB644">
      <w:pPr>
        <w:rPr>
          <w:rStyle w:val="11"/>
          <w:rFonts w:ascii="Times New Roman" w:hAnsi="Times New Roman" w:eastAsia="仿宋_GB2312" w:cs="Times New Roman"/>
          <w:kern w:val="2"/>
          <w:sz w:val="21"/>
          <w:szCs w:val="22"/>
          <w:lang w:val="en-US" w:eastAsia="zh-CN" w:bidi="ar-SA"/>
        </w:rPr>
      </w:pPr>
    </w:p>
    <w:p w14:paraId="3998B434">
      <w:pPr>
        <w:rPr>
          <w:rStyle w:val="11"/>
          <w:rFonts w:ascii="Times New Roman" w:hAnsi="Times New Roman" w:eastAsia="仿宋_GB2312" w:cs="Times New Roman"/>
          <w:kern w:val="2"/>
          <w:sz w:val="21"/>
          <w:szCs w:val="22"/>
          <w:lang w:val="en-US" w:eastAsia="zh-CN" w:bidi="ar-SA"/>
        </w:rPr>
      </w:pPr>
    </w:p>
    <w:p w14:paraId="13BE54F2">
      <w:pPr>
        <w:rPr>
          <w:rStyle w:val="11"/>
          <w:rFonts w:ascii="Times New Roman" w:hAnsi="Times New Roman" w:eastAsia="仿宋_GB2312" w:cs="Times New Roman"/>
          <w:kern w:val="2"/>
          <w:sz w:val="21"/>
          <w:szCs w:val="22"/>
          <w:lang w:val="en-US" w:eastAsia="zh-CN" w:bidi="ar-SA"/>
        </w:rPr>
      </w:pPr>
    </w:p>
    <w:p w14:paraId="46400530">
      <w:pPr>
        <w:rPr>
          <w:rStyle w:val="11"/>
          <w:rFonts w:hint="default" w:ascii="Times New Roman" w:hAnsi="Times New Roman" w:eastAsia="仿宋_GB2312" w:cs="Times New Roman"/>
          <w:kern w:val="2"/>
          <w:sz w:val="21"/>
          <w:szCs w:val="22"/>
          <w:lang w:val="en-US" w:eastAsia="zh-CN" w:bidi="ar-SA"/>
        </w:rPr>
      </w:pPr>
      <w:r>
        <w:rPr>
          <w:rStyle w:val="11"/>
          <w:rFonts w:ascii="Times New Roman" w:hAnsi="Times New Roman" w:eastAsia="仿宋_GB2312" w:cs="Times New Roman"/>
          <w:kern w:val="2"/>
          <w:sz w:val="21"/>
          <w:szCs w:val="22"/>
          <w:lang w:val="en-US" w:eastAsia="zh-CN" w:bidi="ar-SA"/>
        </w:rPr>
        <w:drawing>
          <wp:inline distT="0" distB="0" distL="114300" distR="114300">
            <wp:extent cx="2800350" cy="1768475"/>
            <wp:effectExtent l="0" t="0" r="0" b="0"/>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pic:cNvPicPr>
                  </pic:nvPicPr>
                  <pic:blipFill>
                    <a:blip r:embed="rId15"/>
                    <a:stretch>
                      <a:fillRect/>
                    </a:stretch>
                  </pic:blipFill>
                  <pic:spPr>
                    <a:xfrm>
                      <a:off x="0" y="0"/>
                      <a:ext cx="2800350" cy="1768475"/>
                    </a:xfrm>
                    <a:prstGeom prst="rect">
                      <a:avLst/>
                    </a:prstGeom>
                    <a:noFill/>
                    <a:ln>
                      <a:noFill/>
                    </a:ln>
                  </pic:spPr>
                </pic:pic>
              </a:graphicData>
            </a:graphic>
          </wp:inline>
        </w:drawing>
      </w:r>
      <w:r>
        <w:rPr>
          <w:rStyle w:val="11"/>
          <w:rFonts w:hint="default" w:ascii="Times New Roman" w:hAnsi="Times New Roman" w:eastAsia="仿宋_GB2312" w:cs="Times New Roman"/>
          <w:kern w:val="2"/>
          <w:sz w:val="21"/>
          <w:szCs w:val="22"/>
          <w:lang w:val="en-US" w:eastAsia="zh-CN" w:bidi="ar-SA"/>
        </w:rPr>
        <w:t xml:space="preserve">         </w:t>
      </w:r>
      <w:r>
        <w:rPr>
          <w:rStyle w:val="11"/>
          <w:rFonts w:ascii="Times New Roman" w:hAnsi="Times New Roman" w:eastAsia="仿宋_GB2312" w:cs="Times New Roman"/>
          <w:kern w:val="2"/>
          <w:sz w:val="21"/>
          <w:szCs w:val="22"/>
          <w:lang w:val="en-US" w:eastAsia="zh-CN" w:bidi="ar-SA"/>
        </w:rPr>
        <w:drawing>
          <wp:inline distT="0" distB="0" distL="114300" distR="114300">
            <wp:extent cx="1873250" cy="2958465"/>
            <wp:effectExtent l="0" t="0" r="0" b="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16"/>
                    <a:stretch>
                      <a:fillRect/>
                    </a:stretch>
                  </pic:blipFill>
                  <pic:spPr>
                    <a:xfrm>
                      <a:off x="0" y="0"/>
                      <a:ext cx="1873250" cy="2958465"/>
                    </a:xfrm>
                    <a:prstGeom prst="rect">
                      <a:avLst/>
                    </a:prstGeom>
                    <a:noFill/>
                    <a:ln>
                      <a:noFill/>
                    </a:ln>
                  </pic:spPr>
                </pic:pic>
              </a:graphicData>
            </a:graphic>
          </wp:inline>
        </w:drawing>
      </w:r>
    </w:p>
    <w:p w14:paraId="1029677A">
      <w:pPr>
        <w:rPr>
          <w:rStyle w:val="11"/>
          <w:rFonts w:hint="default" w:ascii="Times New Roman" w:hAnsi="Times New Roman" w:eastAsia="仿宋_GB2312" w:cs="Times New Roman"/>
          <w:kern w:val="2"/>
          <w:sz w:val="21"/>
          <w:szCs w:val="22"/>
          <w:lang w:val="en-US" w:eastAsia="zh-CN" w:bidi="ar-SA"/>
        </w:rPr>
      </w:pPr>
    </w:p>
    <w:p w14:paraId="2CAC21B2">
      <w:pPr>
        <w:rPr>
          <w:rStyle w:val="11"/>
          <w:rFonts w:hint="default" w:ascii="Times New Roman" w:hAnsi="Times New Roman" w:eastAsia="仿宋_GB2312" w:cs="Times New Roman"/>
          <w:kern w:val="2"/>
          <w:sz w:val="21"/>
          <w:szCs w:val="22"/>
          <w:lang w:val="en-US" w:eastAsia="zh-CN" w:bidi="ar-SA"/>
        </w:rPr>
      </w:pPr>
    </w:p>
    <w:p w14:paraId="3B2AB2FA">
      <w:pPr>
        <w:rPr>
          <w:rStyle w:val="11"/>
          <w:rFonts w:hint="default" w:ascii="Times New Roman" w:hAnsi="Times New Roman" w:eastAsia="仿宋_GB2312" w:cs="Times New Roman"/>
          <w:kern w:val="2"/>
          <w:sz w:val="21"/>
          <w:szCs w:val="22"/>
          <w:lang w:val="en-US" w:eastAsia="zh-CN" w:bidi="ar-SA"/>
        </w:rPr>
      </w:pPr>
    </w:p>
    <w:p w14:paraId="5B630D8A">
      <w:pPr>
        <w:rPr>
          <w:rStyle w:val="11"/>
          <w:rFonts w:hint="default" w:ascii="Times New Roman" w:hAnsi="Times New Roman" w:eastAsia="仿宋_GB2312" w:cs="Times New Roman"/>
          <w:kern w:val="2"/>
          <w:sz w:val="21"/>
          <w:szCs w:val="22"/>
          <w:lang w:val="en-US" w:eastAsia="zh-CN" w:bidi="ar-SA"/>
        </w:rPr>
      </w:pPr>
    </w:p>
    <w:p w14:paraId="2237D0AD">
      <w:pPr>
        <w:rPr>
          <w:rStyle w:val="11"/>
          <w:rFonts w:hint="default" w:ascii="Times New Roman" w:hAnsi="Times New Roman" w:eastAsia="仿宋_GB2312" w:cs="Times New Roman"/>
          <w:kern w:val="2"/>
          <w:sz w:val="21"/>
          <w:szCs w:val="22"/>
          <w:lang w:val="en-US" w:eastAsia="zh-CN" w:bidi="ar-SA"/>
        </w:rPr>
      </w:pPr>
    </w:p>
    <w:p w14:paraId="6A49A992">
      <w:pPr>
        <w:rPr>
          <w:rStyle w:val="11"/>
          <w:rFonts w:hint="default" w:ascii="Times New Roman" w:hAnsi="Times New Roman" w:eastAsia="仿宋_GB2312" w:cs="Times New Roman"/>
          <w:kern w:val="2"/>
          <w:sz w:val="21"/>
          <w:szCs w:val="22"/>
          <w:lang w:val="en-US" w:eastAsia="zh-CN" w:bidi="ar-SA"/>
        </w:rPr>
      </w:pPr>
    </w:p>
    <w:p w14:paraId="4DBDAF87">
      <w:pPr>
        <w:rPr>
          <w:rStyle w:val="11"/>
          <w:rFonts w:hint="default" w:ascii="Times New Roman" w:hAnsi="Times New Roman" w:eastAsia="仿宋_GB2312" w:cs="Times New Roman"/>
          <w:kern w:val="2"/>
          <w:sz w:val="21"/>
          <w:szCs w:val="22"/>
          <w:lang w:val="en-US" w:eastAsia="zh-CN" w:bidi="ar-SA"/>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创艺简标宋">
    <w:panose1 w:val="00000000000000000000"/>
    <w:charset w:val="80"/>
    <w:family w:val="auto"/>
    <w:pitch w:val="default"/>
    <w:sig w:usb0="00000283" w:usb1="180F1C10" w:usb2="00000016" w:usb3="00000000" w:csb0="40020001" w:csb1="C0D6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02C53">
    <w:pPr>
      <w:pStyle w:val="8"/>
      <w:tabs>
        <w:tab w:val="center" w:pos="4153"/>
        <w:tab w:val="right" w:pos="8306"/>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63579A">
                          <w:pPr>
                            <w:pStyle w:val="8"/>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7D63579A">
                    <w:pPr>
                      <w:pStyle w:val="8"/>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6373B5">
                          <w:pPr>
                            <w:snapToGrid w:val="0"/>
                            <w:rPr>
                              <w:rFonts w:hint="eastAsia"/>
                              <w:sz w:val="18"/>
                            </w:rPr>
                          </w:pPr>
                          <w:r>
                            <w:rPr>
                              <w:rFonts w:hint="eastAsia"/>
                              <w:sz w:val="18"/>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Skda3dAQAAvwMAAA4AAAAAAAAA&#10;AQAgAAAAHgEAAGRycy9lMm9Eb2MueG1sUEsFBgAAAAAGAAYAWQEAAG0FAAAAAA==&#10;">
              <v:fill on="f" focussize="0,0"/>
              <v:stroke on="f"/>
              <v:imagedata o:title=""/>
              <o:lock v:ext="edit" aspectratio="f"/>
              <v:textbox inset="0mm,0mm,0mm,0mm" style="mso-fit-shape-to-text:t;">
                <w:txbxContent>
                  <w:p w14:paraId="4D6373B5">
                    <w:pPr>
                      <w:snapToGrid w:val="0"/>
                      <w:rPr>
                        <w:rFonts w:hint="eastAsia"/>
                        <w:sz w:val="18"/>
                      </w:rPr>
                    </w:pPr>
                    <w:r>
                      <w:rPr>
                        <w:rFonts w:hint="eastAsia"/>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BDB10">
    <w:pPr>
      <w:pStyle w:val="9"/>
      <w:pBdr>
        <w:bottom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106D"/>
    <w:rsid w:val="01E46AB5"/>
    <w:rsid w:val="06940F4C"/>
    <w:rsid w:val="0863117D"/>
    <w:rsid w:val="0ADD3651"/>
    <w:rsid w:val="0CF053C7"/>
    <w:rsid w:val="0DC444A6"/>
    <w:rsid w:val="0EED3FDE"/>
    <w:rsid w:val="13EF614E"/>
    <w:rsid w:val="14AA7E6B"/>
    <w:rsid w:val="186A1C00"/>
    <w:rsid w:val="18F3622C"/>
    <w:rsid w:val="1A0F5094"/>
    <w:rsid w:val="1BBA1DB0"/>
    <w:rsid w:val="1CBE33BD"/>
    <w:rsid w:val="1DE55F4F"/>
    <w:rsid w:val="1E9717A0"/>
    <w:rsid w:val="20D412A0"/>
    <w:rsid w:val="21D937AD"/>
    <w:rsid w:val="23370256"/>
    <w:rsid w:val="25517201"/>
    <w:rsid w:val="27A83F1D"/>
    <w:rsid w:val="27CD50AE"/>
    <w:rsid w:val="28177D17"/>
    <w:rsid w:val="28DD0C33"/>
    <w:rsid w:val="29F021F3"/>
    <w:rsid w:val="2B1C7840"/>
    <w:rsid w:val="2CBE546C"/>
    <w:rsid w:val="2EF83608"/>
    <w:rsid w:val="30395C43"/>
    <w:rsid w:val="30884003"/>
    <w:rsid w:val="309B6B05"/>
    <w:rsid w:val="309F161A"/>
    <w:rsid w:val="33063B09"/>
    <w:rsid w:val="35D8039D"/>
    <w:rsid w:val="3B273268"/>
    <w:rsid w:val="3DC82D05"/>
    <w:rsid w:val="3EBA7779"/>
    <w:rsid w:val="426B5443"/>
    <w:rsid w:val="42723AED"/>
    <w:rsid w:val="42A642E2"/>
    <w:rsid w:val="44482799"/>
    <w:rsid w:val="48105AE9"/>
    <w:rsid w:val="4B034694"/>
    <w:rsid w:val="4D840D6F"/>
    <w:rsid w:val="4FC072E2"/>
    <w:rsid w:val="586215AF"/>
    <w:rsid w:val="58CB6A3A"/>
    <w:rsid w:val="5C8E5C48"/>
    <w:rsid w:val="5C93136F"/>
    <w:rsid w:val="5DE029A8"/>
    <w:rsid w:val="5E18021B"/>
    <w:rsid w:val="5F65611D"/>
    <w:rsid w:val="5F956C95"/>
    <w:rsid w:val="61385FAC"/>
    <w:rsid w:val="62984061"/>
    <w:rsid w:val="631A3827"/>
    <w:rsid w:val="63FE3A57"/>
    <w:rsid w:val="65031640"/>
    <w:rsid w:val="66C2373D"/>
    <w:rsid w:val="676E570B"/>
    <w:rsid w:val="68E2521F"/>
    <w:rsid w:val="69781DCA"/>
    <w:rsid w:val="6CB334AF"/>
    <w:rsid w:val="714D016C"/>
    <w:rsid w:val="72F65D2C"/>
    <w:rsid w:val="74E147B2"/>
    <w:rsid w:val="77041622"/>
    <w:rsid w:val="799E07C9"/>
    <w:rsid w:val="7AA97179"/>
    <w:rsid w:val="7C02106F"/>
    <w:rsid w:val="D6DD2C5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annotation text"/>
    <w:basedOn w:val="1"/>
    <w:qFormat/>
    <w:uiPriority w:val="0"/>
    <w:pPr>
      <w:jc w:val="left"/>
    </w:pPr>
  </w:style>
  <w:style w:type="paragraph" w:styleId="4">
    <w:name w:val="Body Text"/>
    <w:basedOn w:val="1"/>
    <w:next w:val="5"/>
    <w:unhideWhenUsed/>
    <w:qFormat/>
    <w:uiPriority w:val="99"/>
    <w:pPr>
      <w:spacing w:after="120"/>
    </w:pPr>
    <w:rPr>
      <w:rFonts w:ascii="Calibri" w:hAnsi="Calibri" w:eastAsia="宋体"/>
      <w:sz w:val="21"/>
      <w:szCs w:val="22"/>
    </w:rPr>
  </w:style>
  <w:style w:type="paragraph" w:styleId="5">
    <w:name w:val="toc 5"/>
    <w:basedOn w:val="1"/>
    <w:next w:val="1"/>
    <w:unhideWhenUsed/>
    <w:qFormat/>
    <w:uiPriority w:val="39"/>
    <w:pPr>
      <w:ind w:left="1680"/>
    </w:pPr>
  </w:style>
  <w:style w:type="paragraph" w:styleId="6">
    <w:name w:val="Body Text Indent"/>
    <w:basedOn w:val="1"/>
    <w:link w:val="13"/>
    <w:qFormat/>
    <w:uiPriority w:val="0"/>
    <w:pPr>
      <w:ind w:firstLine="600"/>
    </w:pPr>
    <w:rPr>
      <w:rFonts w:hint="default" w:ascii="Times New Roman" w:hAnsi="Times New Roman"/>
      <w:sz w:val="30"/>
      <w:szCs w:val="24"/>
    </w:rPr>
  </w:style>
  <w:style w:type="paragraph" w:styleId="7">
    <w:name w:val="Body Text Indent 2"/>
    <w:basedOn w:val="1"/>
    <w:link w:val="14"/>
    <w:qFormat/>
    <w:uiPriority w:val="0"/>
    <w:pPr>
      <w:spacing w:after="120" w:line="480" w:lineRule="auto"/>
      <w:ind w:left="420" w:leftChars="200"/>
    </w:pPr>
  </w:style>
  <w:style w:type="paragraph" w:styleId="8">
    <w:name w:val="footer"/>
    <w:basedOn w:val="1"/>
    <w:link w:val="15"/>
    <w:qFormat/>
    <w:uiPriority w:val="0"/>
    <w:pPr>
      <w:snapToGrid w:val="0"/>
      <w:jc w:val="left"/>
    </w:pPr>
    <w:rPr>
      <w:sz w:val="18"/>
      <w:szCs w:val="18"/>
    </w:rPr>
  </w:style>
  <w:style w:type="paragraph" w:styleId="9">
    <w:name w:val="header"/>
    <w:basedOn w:val="1"/>
    <w:link w:val="16"/>
    <w:qFormat/>
    <w:uiPriority w:val="0"/>
    <w:pPr>
      <w:pBdr>
        <w:bottom w:val="single" w:color="auto" w:sz="6" w:space="1"/>
      </w:pBdr>
      <w:snapToGrid w:val="0"/>
      <w:jc w:val="center"/>
    </w:pPr>
    <w:rPr>
      <w:sz w:val="18"/>
      <w:szCs w:val="18"/>
    </w:rPr>
  </w:style>
  <w:style w:type="character" w:customStyle="1" w:styleId="11">
    <w:name w:val="正文 CharProp"/>
    <w:qFormat/>
    <w:uiPriority w:val="0"/>
    <w:rPr>
      <w:rFonts w:ascii="Calibri" w:hAnsi="Calibri" w:eastAsia="宋体" w:cs="Times New Roman"/>
      <w:kern w:val="2"/>
      <w:sz w:val="21"/>
      <w:szCs w:val="22"/>
      <w:lang w:val="en-US" w:eastAsia="zh-CN" w:bidi="ar-SA"/>
    </w:rPr>
  </w:style>
  <w:style w:type="character" w:customStyle="1" w:styleId="13">
    <w:name w:val="正文文本缩进 字符"/>
    <w:link w:val="6"/>
    <w:qFormat/>
    <w:uiPriority w:val="0"/>
    <w:rPr>
      <w:rFonts w:hint="default" w:ascii="Times New Roman" w:hAnsi="Times New Roman"/>
      <w:kern w:val="2"/>
      <w:sz w:val="30"/>
      <w:szCs w:val="24"/>
    </w:rPr>
  </w:style>
  <w:style w:type="character" w:customStyle="1" w:styleId="14">
    <w:name w:val="正文文本缩进 2 字符"/>
    <w:link w:val="7"/>
    <w:qFormat/>
    <w:uiPriority w:val="0"/>
    <w:rPr>
      <w:kern w:val="2"/>
      <w:sz w:val="21"/>
      <w:szCs w:val="22"/>
    </w:rPr>
  </w:style>
  <w:style w:type="character" w:customStyle="1" w:styleId="15">
    <w:name w:val="页脚 字符"/>
    <w:link w:val="8"/>
    <w:qFormat/>
    <w:uiPriority w:val="0"/>
    <w:rPr>
      <w:kern w:val="2"/>
      <w:sz w:val="18"/>
      <w:szCs w:val="18"/>
    </w:rPr>
  </w:style>
  <w:style w:type="character" w:customStyle="1" w:styleId="16">
    <w:name w:val="页眉 字符"/>
    <w:link w:val="9"/>
    <w:qFormat/>
    <w:uiPriority w:val="0"/>
    <w:rPr>
      <w:kern w:val="2"/>
      <w:sz w:val="18"/>
      <w:szCs w:val="18"/>
    </w:rPr>
  </w:style>
  <w:style w:type="character" w:customStyle="1" w:styleId="17">
    <w:name w:val="正文 CharProp Cha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470</Words>
  <Characters>2682</Characters>
  <Lines>22</Lines>
  <Paragraphs>6</Paragraphs>
  <TotalTime>1010</TotalTime>
  <ScaleCrop>false</ScaleCrop>
  <LinksUpToDate>false</LinksUpToDate>
  <CharactersWithSpaces>3146</CharactersWithSpaces>
  <Application>WPS Office WWO_wpscloud_20250725212728-169485052d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2020-08-13T12:22:00Z</dcterms:created>
  <dc:creator>admin</dc:creator>
  <cp:lastModifiedBy>朱广一（四级高级主办）</cp:lastModifiedBy>
  <cp:lastPrinted>2025-09-23T10:51:00Z</cp:lastPrinted>
  <dcterms:modified xsi:type="dcterms:W3CDTF">2025-09-25T09:34:47Z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8B236CEF0278FC7E379CD468FBE42996_43</vt:lpwstr>
  </property>
</Properties>
</file>